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7C80E" w14:textId="7A14D695" w:rsidR="00251029" w:rsidRDefault="00A63428">
      <w:pPr>
        <w:jc w:val="center"/>
        <w:rPr>
          <w:b/>
          <w:sz w:val="32"/>
        </w:rPr>
      </w:pPr>
      <w:r>
        <w:rPr>
          <w:b/>
          <w:sz w:val="32"/>
        </w:rPr>
        <w:t>Risk Assessment Policy</w:t>
      </w:r>
    </w:p>
    <w:p w14:paraId="18A1FC95" w14:textId="77777777" w:rsidR="00A63428" w:rsidRDefault="00A63428">
      <w:pPr>
        <w:jc w:val="center"/>
      </w:pPr>
    </w:p>
    <w:tbl>
      <w:tblPr>
        <w:tblStyle w:val="TableGrid"/>
        <w:tblW w:w="0" w:type="auto"/>
        <w:tblLook w:val="04A0" w:firstRow="1" w:lastRow="0" w:firstColumn="1" w:lastColumn="0" w:noHBand="0" w:noVBand="1"/>
      </w:tblPr>
      <w:tblGrid>
        <w:gridCol w:w="5507"/>
        <w:gridCol w:w="5507"/>
      </w:tblGrid>
      <w:tr w:rsidR="00251029" w14:paraId="74BAC01E" w14:textId="77777777">
        <w:tc>
          <w:tcPr>
            <w:tcW w:w="5512" w:type="dxa"/>
          </w:tcPr>
          <w:p w14:paraId="47F28A5E" w14:textId="77777777" w:rsidR="00251029" w:rsidRDefault="00A63428">
            <w:r>
              <w:t>Policy title</w:t>
            </w:r>
          </w:p>
        </w:tc>
        <w:tc>
          <w:tcPr>
            <w:tcW w:w="5512" w:type="dxa"/>
          </w:tcPr>
          <w:p w14:paraId="3EB3045A" w14:textId="77777777" w:rsidR="00251029" w:rsidRDefault="00A63428">
            <w:r>
              <w:t>Risk Assessment Policy</w:t>
            </w:r>
          </w:p>
        </w:tc>
      </w:tr>
      <w:tr w:rsidR="00251029" w14:paraId="1C8C8BF7" w14:textId="77777777">
        <w:tc>
          <w:tcPr>
            <w:tcW w:w="5512" w:type="dxa"/>
          </w:tcPr>
          <w:p w14:paraId="3B692D6B" w14:textId="77777777" w:rsidR="00251029" w:rsidRDefault="00A63428">
            <w:r>
              <w:t>Applies to</w:t>
            </w:r>
          </w:p>
        </w:tc>
        <w:tc>
          <w:tcPr>
            <w:tcW w:w="5512" w:type="dxa"/>
          </w:tcPr>
          <w:p w14:paraId="4D0038B6" w14:textId="77777777" w:rsidR="00251029" w:rsidRDefault="00A63428">
            <w:r>
              <w:t>All staff, volunteers, contractors and visitors; pupils and parents/carers (information)</w:t>
            </w:r>
          </w:p>
        </w:tc>
      </w:tr>
      <w:tr w:rsidR="00251029" w14:paraId="6E29A185" w14:textId="77777777">
        <w:tc>
          <w:tcPr>
            <w:tcW w:w="5512" w:type="dxa"/>
          </w:tcPr>
          <w:p w14:paraId="56E24125" w14:textId="77777777" w:rsidR="00251029" w:rsidRDefault="00A63428">
            <w:r>
              <w:t>Policy owner</w:t>
            </w:r>
          </w:p>
        </w:tc>
        <w:tc>
          <w:tcPr>
            <w:tcW w:w="5512" w:type="dxa"/>
          </w:tcPr>
          <w:p w14:paraId="40EA0E0B" w14:textId="77777777" w:rsidR="00251029" w:rsidRDefault="00A63428">
            <w:r>
              <w:t>Head of Centre / Health &amp; Safety Lead</w:t>
            </w:r>
          </w:p>
        </w:tc>
      </w:tr>
      <w:tr w:rsidR="00251029" w14:paraId="03EF386A" w14:textId="77777777">
        <w:tc>
          <w:tcPr>
            <w:tcW w:w="5512" w:type="dxa"/>
          </w:tcPr>
          <w:p w14:paraId="4E26703D" w14:textId="77777777" w:rsidR="00251029" w:rsidRDefault="00A63428">
            <w:r>
              <w:t>Approved on</w:t>
            </w:r>
          </w:p>
        </w:tc>
        <w:tc>
          <w:tcPr>
            <w:tcW w:w="5512" w:type="dxa"/>
          </w:tcPr>
          <w:p w14:paraId="33ACB6D7" w14:textId="69D977B4" w:rsidR="00251029" w:rsidRDefault="00303F1C">
            <w:r>
              <w:t>01/09/26</w:t>
            </w:r>
          </w:p>
        </w:tc>
      </w:tr>
      <w:tr w:rsidR="00251029" w14:paraId="1873A23E" w14:textId="77777777">
        <w:tc>
          <w:tcPr>
            <w:tcW w:w="5512" w:type="dxa"/>
          </w:tcPr>
          <w:p w14:paraId="0B53F9FA" w14:textId="77777777" w:rsidR="00251029" w:rsidRDefault="00A63428">
            <w:r>
              <w:t>Review cycle</w:t>
            </w:r>
          </w:p>
        </w:tc>
        <w:tc>
          <w:tcPr>
            <w:tcW w:w="5512" w:type="dxa"/>
          </w:tcPr>
          <w:p w14:paraId="2FA99987" w14:textId="77777777" w:rsidR="00251029" w:rsidRDefault="00A63428">
            <w:r>
              <w:t>Annual</w:t>
            </w:r>
          </w:p>
        </w:tc>
      </w:tr>
    </w:tbl>
    <w:p w14:paraId="2723E1F7" w14:textId="77777777" w:rsidR="00251029" w:rsidRDefault="00251029"/>
    <w:p w14:paraId="26A09879" w14:textId="77777777" w:rsidR="00251029" w:rsidRDefault="00A63428">
      <w:pPr>
        <w:pStyle w:val="Heading1"/>
      </w:pPr>
      <w:r>
        <w:t>1. Purpose and ethos</w:t>
      </w:r>
    </w:p>
    <w:p w14:paraId="7A062854" w14:textId="053F63FE" w:rsidR="00251029" w:rsidRDefault="00A63428">
      <w:pPr>
        <w:spacing w:after="120"/>
      </w:pPr>
      <w:r>
        <w:t xml:space="preserve">This policy sets out how </w:t>
      </w:r>
      <w:r w:rsidR="00BB7A6D">
        <w:t>The Patch Project devon CIC</w:t>
      </w:r>
      <w:r>
        <w:t xml:space="preserve"> identifies, evaluates and controls risks so that </w:t>
      </w:r>
      <w:r w:rsidR="00303F1C">
        <w:t>students</w:t>
      </w:r>
      <w:r>
        <w:t>, staff and visitors are safe and learning can thrive. Effective risk assessment underpins our safer culture and is integral to day‑to‑day decision‑making, not a one‑off exercise. We emphasise proportionality: controls must be sensible, practical and balanced against the educational benefits of activities in Alternative Provision settings.</w:t>
      </w:r>
    </w:p>
    <w:p w14:paraId="59461E91" w14:textId="77777777" w:rsidR="00251029" w:rsidRDefault="00A63428">
      <w:pPr>
        <w:pStyle w:val="Heading1"/>
      </w:pPr>
      <w:r>
        <w:t>2. Legal and policy framework</w:t>
      </w:r>
    </w:p>
    <w:p w14:paraId="720F8AD9" w14:textId="4AF2A5BE" w:rsidR="00251029" w:rsidRDefault="00A63428">
      <w:pPr>
        <w:spacing w:after="120"/>
      </w:pPr>
      <w:r>
        <w:t>Our approach complies with the Health and Safety at Work etc. Act 1974 and the Management of Health and Safety at Work Regulations 1999, including the duty to undertake ‘suitable and sufficient’ assessments. We draw on HSE guidance, the Fire Safety Order and DfE guidance including Keeping Children Safe in Education (202</w:t>
      </w:r>
      <w:r w:rsidR="00BB7A6D">
        <w:t>6</w:t>
      </w:r>
      <w:r>
        <w:t>), Working Together to Safeguard Children (2023, updated 2025) and the DfE Non‑school Alternative Provision Voluntary National Standards (2025).</w:t>
      </w:r>
    </w:p>
    <w:p w14:paraId="594E8F6E" w14:textId="77777777" w:rsidR="00251029" w:rsidRDefault="00A63428">
      <w:pPr>
        <w:pStyle w:val="Heading1"/>
      </w:pPr>
      <w:r>
        <w:t>3. Scope</w:t>
      </w:r>
    </w:p>
    <w:p w14:paraId="35E15EAE" w14:textId="1A357242" w:rsidR="00251029" w:rsidRDefault="00A63428">
      <w:pPr>
        <w:spacing w:after="120"/>
      </w:pPr>
      <w:r>
        <w:t xml:space="preserve">This policy applies to all </w:t>
      </w:r>
      <w:r w:rsidR="00303F1C">
        <w:t>the Patch Project Devon CIC</w:t>
      </w:r>
      <w:r>
        <w:t xml:space="preserve"> sites and activities, including curriculum delivery, workshops/vocational spaces, community‑based learning, off‑site visits, work experience, transport, and shared spaces with partner providers. It covers both planned assessments and dynamic, on‑the‑spot judgements made by competent staff when circumstances change.</w:t>
      </w:r>
    </w:p>
    <w:p w14:paraId="21FA0C62" w14:textId="77777777" w:rsidR="00251029" w:rsidRDefault="00A63428">
      <w:pPr>
        <w:pStyle w:val="Heading1"/>
      </w:pPr>
      <w:r>
        <w:t>4. Roles and responsibilities</w:t>
      </w:r>
    </w:p>
    <w:p w14:paraId="10B9D6E8" w14:textId="131ECB54" w:rsidR="00251029" w:rsidRDefault="00A63428">
      <w:pPr>
        <w:spacing w:after="120"/>
      </w:pPr>
      <w:r>
        <w:t xml:space="preserve">The Proprietor/Responsible Person ensures this policy and resourcing are in place. The Provision Lead holds operational accountability and appoints a competent Health &amp; Safety Lead to coordinate assessments, training and assurance. </w:t>
      </w:r>
      <w:r w:rsidR="00BB7A6D">
        <w:t xml:space="preserve">Directors </w:t>
      </w:r>
      <w:r>
        <w:t>ensure assessments are completed, implemented and reviewed. Staff must follow control measures, report defects and contribute to reviews. The DSL ensures that safeguarding risks (e.g. exploitation, peer‑on‑peer abuse, missing episodes) are integrated into relevant assessments and plans. The SENCo ensures reasonable adjustments and individual plans are reflected, including PEEPs. Contractors must comply with our controls and provide their own assessments for their work.</w:t>
      </w:r>
    </w:p>
    <w:p w14:paraId="44764AD0" w14:textId="77777777" w:rsidR="00251029" w:rsidRDefault="00A63428">
      <w:pPr>
        <w:pStyle w:val="Heading1"/>
      </w:pPr>
      <w:r>
        <w:t>5. Definitions</w:t>
      </w:r>
    </w:p>
    <w:p w14:paraId="0920E0D0" w14:textId="77777777" w:rsidR="00251029" w:rsidRDefault="00A63428">
      <w:pPr>
        <w:spacing w:after="120"/>
      </w:pPr>
      <w:r>
        <w:t>A risk assessment is a written record of how we will manage risks arising from our activities or environment. Hazards are anything with potential to cause harm; risk is the likelihood and severity of that harm. Control measures are the actions or arrangements that eliminate hazards or reduce risks to an acceptable level, prioritising the hierarchy of controls (eliminate, substitute, engineering, administrative, PPE).</w:t>
      </w:r>
    </w:p>
    <w:p w14:paraId="4D5D3778" w14:textId="77777777" w:rsidR="00251029" w:rsidRDefault="00A63428">
      <w:pPr>
        <w:pStyle w:val="Heading1"/>
      </w:pPr>
      <w:r>
        <w:t>6. Our risk assessment process</w:t>
      </w:r>
    </w:p>
    <w:p w14:paraId="0C25E15F" w14:textId="6FDEA5F1" w:rsidR="00251029" w:rsidRDefault="00A63428">
      <w:pPr>
        <w:spacing w:after="120"/>
      </w:pPr>
      <w:r>
        <w:t xml:space="preserve">We follow a consistent five‑step model across the organisation: 1) Identify hazards by observing the activity/environment, consulting staff and reviewing incident trends and manufacturer instructions. 2) Decide who might be harmed and how, including </w:t>
      </w:r>
      <w:r w:rsidR="00303F1C">
        <w:t>students</w:t>
      </w:r>
      <w:r>
        <w:t xml:space="preserve"> with SEND, visitors, contractors and lone workers. 3) Evaluate risk and decide on controls, prioritising elimination/substitution and designing activities safely before relying on procedural controls or PPE. 4) Record the assessment using the organisation template, including responsible persons and deadlines. 5) Implement the controls and monitor their effectiveness in practice, updating the assessment when circumstances change. We use a simple severity/likelihood matrix to prioritise actions. Where risks remain high, the Provision Lead must sign off the residual risk and any additional mitigations.</w:t>
      </w:r>
    </w:p>
    <w:p w14:paraId="2443A6C5" w14:textId="77777777" w:rsidR="00251029" w:rsidRDefault="00A63428">
      <w:pPr>
        <w:pStyle w:val="Heading1"/>
      </w:pPr>
      <w:r>
        <w:t>7. Types of risk assessments we use</w:t>
      </w:r>
    </w:p>
    <w:p w14:paraId="5261A251" w14:textId="56718E01" w:rsidR="00251029" w:rsidRDefault="00A63428">
      <w:pPr>
        <w:spacing w:after="120"/>
      </w:pPr>
      <w:r>
        <w:t xml:space="preserve">• General site assessments: premises, housekeeping, access/egress, supervision, contractor control. • Activity‑specific assessments: e.g. food technology, workshop machinery, science, sport and outdoor education. • </w:t>
      </w:r>
      <w:r>
        <w:lastRenderedPageBreak/>
        <w:t xml:space="preserve">Individual </w:t>
      </w:r>
      <w:r w:rsidR="00303F1C">
        <w:t>student</w:t>
      </w:r>
      <w:r>
        <w:t xml:space="preserve"> risk assessments: behaviour and regulation needs, contextual risks (e.g. exploitation, serious violence), triggers and early‑help strategies; integrated with the </w:t>
      </w:r>
      <w:r w:rsidR="00303F1C">
        <w:t xml:space="preserve">student </w:t>
      </w:r>
      <w:r>
        <w:t>safeguarding plan. • Health‑related assessments: medication, allergies, seizures and clinical protocols. • COSHH and DSE assessments where required by regulation. • Fire Risk Assessments are managed under the Fire Safety Policy</w:t>
      </w:r>
      <w:r w:rsidR="00BB7A6D">
        <w:t>.</w:t>
      </w:r>
      <w:r>
        <w:t xml:space="preserve"> Educational visits risk assessments, including provider assurances, led by the visit leader and approved by the</w:t>
      </w:r>
      <w:r w:rsidR="00BB7A6D">
        <w:t xml:space="preserve"> Director</w:t>
      </w:r>
      <w:r>
        <w:t>.</w:t>
      </w:r>
    </w:p>
    <w:p w14:paraId="069CD399" w14:textId="77777777" w:rsidR="00251029" w:rsidRDefault="00A63428">
      <w:pPr>
        <w:pStyle w:val="Heading1"/>
      </w:pPr>
      <w:r>
        <w:t>8. Alternative Provision context and dynamic risk management</w:t>
      </w:r>
    </w:p>
    <w:p w14:paraId="496E43B6" w14:textId="77777777" w:rsidR="00251029" w:rsidRDefault="00A63428">
      <w:pPr>
        <w:spacing w:after="120"/>
      </w:pPr>
      <w:r>
        <w:t>AP learners may present fluctuating risks. Staff are trained to make dynamic assessments when behaviour escalates, when unfamiliar peers interact, or when community intelligence indicates heightened risk (e.g. local exploitation activity). Dynamic decisions—such as altering grouping, adjusting supervision ratios or pausing an activity—are recorded in the daily log and trigger a review of the written assessment if changes persist.</w:t>
      </w:r>
    </w:p>
    <w:p w14:paraId="262880A0" w14:textId="77777777" w:rsidR="00251029" w:rsidRDefault="00A63428">
      <w:pPr>
        <w:pStyle w:val="Heading1"/>
      </w:pPr>
      <w:r>
        <w:t>9. Educational visits, transport and community learning</w:t>
      </w:r>
    </w:p>
    <w:p w14:paraId="7ADB35FD" w14:textId="77777777" w:rsidR="00251029" w:rsidRDefault="00A63428">
      <w:pPr>
        <w:spacing w:after="120"/>
      </w:pPr>
      <w:r>
        <w:t>For off‑site activity we complete a visit‑specific assessment that covers travel arrangements, supervision levels, emergency contacts, medical needs, venue/provider competence and safeguarding considerations in public spaces. Where public transport is used, staff consider embark/disembark points, crowding, and contingencies for disruption. High‑risk or adventurous activities require provider competence checks and, where applicable, licencing verification and parental consent.</w:t>
      </w:r>
    </w:p>
    <w:p w14:paraId="46B33022" w14:textId="77777777" w:rsidR="00251029" w:rsidRDefault="00A63428">
      <w:pPr>
        <w:pStyle w:val="Heading1"/>
      </w:pPr>
      <w:r>
        <w:t>10. Implementing controls</w:t>
      </w:r>
    </w:p>
    <w:p w14:paraId="634A608A" w14:textId="09329B83" w:rsidR="00251029" w:rsidRDefault="00A63428">
      <w:pPr>
        <w:spacing w:after="120"/>
      </w:pPr>
      <w:r>
        <w:t xml:space="preserve">Controls are embedded into lesson planning, daily briefings and room signage. Staff practise routines with </w:t>
      </w:r>
      <w:r w:rsidR="00303F1C">
        <w:t>student</w:t>
      </w:r>
      <w:r>
        <w:t>s (e.g. tool control, machine isolation, hot‑surface cautions) and use positive behaviour support to pre‑empt dysregulation. Where PPE is required, it is available in appropriate sizes, maintained and replaced as necessary, and its limitations are understood.</w:t>
      </w:r>
    </w:p>
    <w:p w14:paraId="37668652" w14:textId="77777777" w:rsidR="00251029" w:rsidRDefault="00A63428">
      <w:pPr>
        <w:pStyle w:val="Heading1"/>
      </w:pPr>
      <w:r>
        <w:t>11. Recording, storage and version control</w:t>
      </w:r>
    </w:p>
    <w:p w14:paraId="733BB8C0" w14:textId="77777777" w:rsidR="00251029" w:rsidRDefault="00A63428">
      <w:pPr>
        <w:spacing w:after="120"/>
      </w:pPr>
      <w:r>
        <w:t>Assessments are written on the organisational template and stored on the central drive/MIS in the relevant site/activity folder. Each assessment states the author, date, review date and sign‑off level. Superseded versions are archived but remain accessible for audit. Staff must be able to access current assessments at point of use.</w:t>
      </w:r>
    </w:p>
    <w:p w14:paraId="552B8A18" w14:textId="77777777" w:rsidR="00251029" w:rsidRDefault="00A63428">
      <w:pPr>
        <w:pStyle w:val="Heading1"/>
      </w:pPr>
      <w:r>
        <w:t>12. Review and triggers for updating</w:t>
      </w:r>
    </w:p>
    <w:p w14:paraId="025DAD97" w14:textId="77777777" w:rsidR="00251029" w:rsidRDefault="00A63428">
      <w:pPr>
        <w:spacing w:after="120"/>
      </w:pPr>
      <w:r>
        <w:t>Assessments are reviewed at least annually and sooner if there is a significant change to the activity, equipment, environment, staffing, pupil cohort or after an accident/near‑miss. Individual pupil assessments are reviewed following changes in behaviour, attendance patterns (including going missing), or safeguarding intelligence.</w:t>
      </w:r>
    </w:p>
    <w:p w14:paraId="5ED9186D" w14:textId="77777777" w:rsidR="00251029" w:rsidRDefault="00A63428">
      <w:pPr>
        <w:pStyle w:val="Heading1"/>
      </w:pPr>
      <w:r>
        <w:t>13. Training and competence</w:t>
      </w:r>
    </w:p>
    <w:p w14:paraId="498AEBA2" w14:textId="77777777" w:rsidR="00251029" w:rsidRDefault="00A63428">
      <w:pPr>
        <w:spacing w:after="120"/>
      </w:pPr>
      <w:r>
        <w:t>All staff receive induction training on reading and using risk assessments and on dynamic risk principles. Role‑specific training is provided for activities with elevated risk (e.g. food tech, workshop machinery, science). Managers and nominated staff receive training on writing and reviewing assessments using our template and matrix.</w:t>
      </w:r>
    </w:p>
    <w:p w14:paraId="717E951E" w14:textId="77777777" w:rsidR="00251029" w:rsidRDefault="00A63428">
      <w:pPr>
        <w:pStyle w:val="Heading1"/>
      </w:pPr>
      <w:r>
        <w:t>14. Monitoring, audit and assurance</w:t>
      </w:r>
    </w:p>
    <w:p w14:paraId="202B95FD" w14:textId="77777777" w:rsidR="00251029" w:rsidRDefault="00A63428">
      <w:pPr>
        <w:spacing w:after="120"/>
      </w:pPr>
      <w:r>
        <w:t>Site leaders conduct termly compliance checks of assessment quality and implementation (spot observations, staff interviews, signage/equipment checks). Findings feed into the Health &amp; Safety action plan, and learning is shared across sites. The Responsible Person samples high‑risk areas each term and reports to governance.</w:t>
      </w:r>
    </w:p>
    <w:p w14:paraId="4325C894" w14:textId="77777777" w:rsidR="00251029" w:rsidRDefault="00A63428">
      <w:pPr>
        <w:pStyle w:val="Heading1"/>
      </w:pPr>
      <w:r>
        <w:t>15. Incident reporting and learning</w:t>
      </w:r>
    </w:p>
    <w:p w14:paraId="1B8C9C0D" w14:textId="77777777" w:rsidR="00251029" w:rsidRDefault="00A63428">
      <w:pPr>
        <w:spacing w:after="120"/>
      </w:pPr>
      <w:r>
        <w:t>All accidents, near‑misses and behaviour incidents are recorded. Significant events are investigated to identify root causes and whether controls were appropriate and followed. Actions are tracked to closure and relevant assessments are updated.</w:t>
      </w:r>
    </w:p>
    <w:p w14:paraId="7C4B60BB" w14:textId="77777777" w:rsidR="00251029" w:rsidRDefault="00A63428">
      <w:pPr>
        <w:pStyle w:val="Heading1"/>
      </w:pPr>
      <w:r>
        <w:t>16. Linked policies and documents</w:t>
      </w:r>
    </w:p>
    <w:p w14:paraId="72CAE71B" w14:textId="77777777" w:rsidR="00251029" w:rsidRDefault="00A63428">
      <w:pPr>
        <w:spacing w:after="120"/>
      </w:pPr>
      <w:r>
        <w:t>Fire Safety Policy; Health and Safety Policy; Educational Visits Policy; First Aid and Medication Policy; Behaviour Policy; Student Induction Policy; Safeguarding and Child Protection Policy.</w:t>
      </w:r>
    </w:p>
    <w:p w14:paraId="3FBB7602" w14:textId="7031E88D" w:rsidR="00251029" w:rsidRDefault="00251029" w:rsidP="00303F1C">
      <w:pPr>
        <w:pStyle w:val="Heading1"/>
      </w:pPr>
    </w:p>
    <w:p w14:paraId="15AB04DE" w14:textId="66EF14ED" w:rsidR="00251029" w:rsidRDefault="00A63428">
      <w:r>
        <w:rPr>
          <w:i/>
        </w:rPr>
        <w:t xml:space="preserve">Version: V03 • Approved on: </w:t>
      </w:r>
      <w:r w:rsidR="0073149E">
        <w:rPr>
          <w:i/>
        </w:rPr>
        <w:t>01</w:t>
      </w:r>
      <w:r>
        <w:rPr>
          <w:i/>
        </w:rPr>
        <w:t xml:space="preserve"> September 202</w:t>
      </w:r>
      <w:r w:rsidR="0073149E">
        <w:rPr>
          <w:i/>
        </w:rPr>
        <w:t>6</w:t>
      </w:r>
      <w:r>
        <w:rPr>
          <w:i/>
        </w:rPr>
        <w:t xml:space="preserve"> • Next review: September 202</w:t>
      </w:r>
      <w:r w:rsidR="0073149E">
        <w:rPr>
          <w:i/>
        </w:rPr>
        <w:t>7</w:t>
      </w:r>
    </w:p>
    <w:sectPr w:rsidR="00251029" w:rsidSect="004752A1">
      <w:headerReference w:type="even" r:id="rId11"/>
      <w:headerReference w:type="default" r:id="rId12"/>
      <w:footerReference w:type="even" r:id="rId13"/>
      <w:footerReference w:type="default" r:id="rId14"/>
      <w:headerReference w:type="first" r:id="rId15"/>
      <w:footerReference w:type="first" r:id="rId16"/>
      <w:pgSz w:w="11920" w:h="16840"/>
      <w:pgMar w:top="1758" w:right="318" w:bottom="1361" w:left="578" w:header="340" w:footer="3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4E586" w14:textId="77777777" w:rsidR="00D3400D" w:rsidRDefault="00D3400D" w:rsidP="00AC3A2B">
      <w:r>
        <w:separator/>
      </w:r>
    </w:p>
  </w:endnote>
  <w:endnote w:type="continuationSeparator" w:id="0">
    <w:p w14:paraId="228DA7AA" w14:textId="77777777" w:rsidR="00D3400D" w:rsidRDefault="00D3400D" w:rsidP="00AC3A2B">
      <w:r>
        <w:continuationSeparator/>
      </w:r>
    </w:p>
  </w:endnote>
  <w:endnote w:type="continuationNotice" w:id="1">
    <w:p w14:paraId="71506587" w14:textId="77777777" w:rsidR="00D3400D" w:rsidRDefault="00D340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6126" w14:textId="77777777" w:rsidR="00A63428" w:rsidRDefault="00A634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9C59D" w14:textId="226C61D4" w:rsidR="00CF4BB6" w:rsidRDefault="00CF4BB6" w:rsidP="00CF4BB6">
    <w:pPr>
      <w:pStyle w:val="BodyText"/>
      <w:spacing w:line="14" w:lineRule="auto"/>
      <w:rPr>
        <w:sz w:val="20"/>
      </w:rPr>
    </w:pPr>
  </w:p>
  <w:p w14:paraId="0E0F00DD" w14:textId="77777777" w:rsidR="00C213B4" w:rsidRPr="00A91C06" w:rsidRDefault="00C213B4">
    <w:pPr>
      <w:pStyle w:val="BodyText"/>
      <w:spacing w:line="14" w:lineRule="auto"/>
      <w:rPr>
        <w:rFonts w:ascii="Trebuchet MS" w:hAnsi="Trebuchet MS"/>
        <w:sz w:val="18"/>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4083D" w14:textId="77777777" w:rsidR="00366547" w:rsidRDefault="00366547" w:rsidP="00366547">
    <w:pPr>
      <w:pStyle w:val="BodyText"/>
      <w:spacing w:line="14" w:lineRule="auto"/>
      <w:rPr>
        <w:sz w:val="20"/>
      </w:rPr>
    </w:pPr>
    <w:r>
      <w:rPr>
        <w:noProof/>
      </w:rPr>
      <mc:AlternateContent>
        <mc:Choice Requires="wps">
          <w:drawing>
            <wp:anchor distT="0" distB="0" distL="0" distR="0" simplePos="0" relativeHeight="251665410" behindDoc="1" locked="0" layoutInCell="1" allowOverlap="1" wp14:anchorId="2AE9A990" wp14:editId="611ABFBE">
              <wp:simplePos x="0" y="0"/>
              <wp:positionH relativeFrom="page">
                <wp:posOffset>6394450</wp:posOffset>
              </wp:positionH>
              <wp:positionV relativeFrom="page">
                <wp:posOffset>9982200</wp:posOffset>
              </wp:positionV>
              <wp:extent cx="1033780" cy="5492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3780" cy="549275"/>
                      </a:xfrm>
                      <a:prstGeom prst="rect">
                        <a:avLst/>
                      </a:prstGeom>
                    </wps:spPr>
                    <wps:txbx>
                      <w:txbxContent>
                        <w:p w14:paraId="4D705514" w14:textId="77777777" w:rsidR="00366547" w:rsidRDefault="00366547" w:rsidP="00366547">
                          <w:pPr>
                            <w:spacing w:before="15" w:line="244" w:lineRule="auto"/>
                            <w:ind w:left="20" w:right="10"/>
                            <w:rPr>
                              <w:sz w:val="14"/>
                            </w:rPr>
                          </w:pPr>
                          <w:r>
                            <w:rPr>
                              <w:color w:val="FFFFFF"/>
                              <w:sz w:val="14"/>
                            </w:rPr>
                            <w:t>Adoption</w:t>
                          </w:r>
                          <w:r>
                            <w:rPr>
                              <w:color w:val="FFFFFF"/>
                              <w:spacing w:val="-10"/>
                              <w:sz w:val="14"/>
                            </w:rPr>
                            <w:t xml:space="preserve"> </w:t>
                          </w:r>
                          <w:r>
                            <w:rPr>
                              <w:color w:val="FFFFFF"/>
                              <w:sz w:val="14"/>
                            </w:rPr>
                            <w:t>Policy</w:t>
                          </w:r>
                          <w:r>
                            <w:rPr>
                              <w:color w:val="FFFFFF"/>
                              <w:spacing w:val="40"/>
                              <w:sz w:val="14"/>
                            </w:rPr>
                            <w:t xml:space="preserve"> </w:t>
                          </w:r>
                          <w:r>
                            <w:rPr>
                              <w:color w:val="FFFFFF"/>
                              <w:sz w:val="14"/>
                            </w:rPr>
                            <w:t xml:space="preserve">TBGUK.V02 - </w:t>
                          </w:r>
                          <w:r>
                            <w:rPr>
                              <w:color w:val="FFFFFF"/>
                              <w:spacing w:val="-5"/>
                              <w:sz w:val="14"/>
                            </w:rPr>
                            <w:t xml:space="preserve"> </w:t>
                          </w:r>
                          <w:r>
                            <w:rPr>
                              <w:color w:val="FFFFFF"/>
                              <w:spacing w:val="-2"/>
                              <w:sz w:val="14"/>
                            </w:rPr>
                            <w:t>07/2024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950F1F8" id="_x0000_t202" coordsize="21600,21600" o:spt="202" path="m,l,21600r21600,l21600,xe">
              <v:stroke joinstyle="miter"/>
              <v:path gradientshapeok="t" o:connecttype="rect"/>
            </v:shapetype>
            <v:shape id="_x0000_s1029" type="#_x0000_t202" style="position:absolute;margin-left:503.5pt;margin-top:786pt;width:81.4pt;height:43.25pt;z-index:-25165107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" filled="f" stroked="f">
              <v:textbox inset="0,0,0,0">
                <w:txbxContent>
                  <w:p w14:paraId="357A0DDE" w14:textId="77777777" w:rsidR="00366547" w:rsidRDefault="00366547" w:rsidP="00366547">
                    <w:pPr>
                      <w:spacing w:before="15" w:line="244" w:lineRule="auto"/>
                      <w:ind w:left="20" w:right="10"/>
                      <w:rPr>
                        <w:sz w:val="14"/>
                      </w:rPr>
                    </w:pPr>
                    <w:r>
                      <w:rPr>
                        <w:color w:val="FFFFFF"/>
                        <w:sz w:val="14"/>
                      </w:rPr>
                      <w:t>Adoption</w:t>
                    </w:r>
                    <w:r>
                      <w:rPr>
                        <w:color w:val="FFFFFF"/>
                        <w:spacing w:val="-10"/>
                        <w:sz w:val="14"/>
                      </w:rPr>
                      <w:t xml:space="preserve"> </w:t>
                    </w:r>
                    <w:r>
                      <w:rPr>
                        <w:color w:val="FFFFFF"/>
                        <w:sz w:val="14"/>
                      </w:rPr>
                      <w:t>Policy</w:t>
                    </w:r>
                    <w:r>
                      <w:rPr>
                        <w:color w:val="FFFFFF"/>
                        <w:spacing w:val="40"/>
                        <w:sz w:val="14"/>
                      </w:rPr>
                      <w:t xml:space="preserve"> </w:t>
                    </w:r>
                    <w:r>
                      <w:rPr>
                        <w:color w:val="FFFFFF"/>
                        <w:sz w:val="14"/>
                      </w:rPr>
                      <w:t xml:space="preserve">TBGUK.V02 - </w:t>
                    </w:r>
                    <w:r>
                      <w:rPr>
                        <w:color w:val="FFFFFF"/>
                        <w:spacing w:val="-5"/>
                        <w:sz w:val="14"/>
                      </w:rPr>
                      <w:t xml:space="preserve"> </w:t>
                    </w:r>
                    <w:r>
                      <w:rPr>
                        <w:color w:val="FFFFFF"/>
                        <w:spacing w:val="-2"/>
                        <w:sz w:val="14"/>
                      </w:rPr>
                      <w:t>07/2024</w:t>
                    </w:r>
                  </w:p>
                </w:txbxContent>
              </v:textbox>
              <w10:wrap anchorx="page" anchory="page"/>
            </v:shape>
          </w:pict>
        </mc:Fallback>
      </mc:AlternateContent>
    </w:r>
    <w:r>
      <w:rPr>
        <w:noProof/>
      </w:rPr>
      <mc:AlternateContent>
        <mc:Choice Requires="wps">
          <w:drawing>
            <wp:anchor distT="0" distB="0" distL="0" distR="0" simplePos="0" relativeHeight="251663362" behindDoc="1" locked="0" layoutInCell="1" allowOverlap="1" wp14:anchorId="5A3AD255" wp14:editId="1DA3FFD1">
              <wp:simplePos x="0" y="0"/>
              <wp:positionH relativeFrom="page">
                <wp:posOffset>327660</wp:posOffset>
              </wp:positionH>
              <wp:positionV relativeFrom="page">
                <wp:posOffset>9982200</wp:posOffset>
              </wp:positionV>
              <wp:extent cx="598805" cy="3657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805" cy="365760"/>
                      </a:xfrm>
                      <a:prstGeom prst="rect">
                        <a:avLst/>
                      </a:prstGeom>
                    </wps:spPr>
                    <wps:txbx>
                      <w:txbxContent>
                        <w:p w14:paraId="7069D613" w14:textId="77777777" w:rsidR="00366547" w:rsidRPr="00107A43" w:rsidRDefault="00366547" w:rsidP="00366547">
                          <w:pPr>
                            <w:spacing w:before="2"/>
                            <w:ind w:left="20"/>
                            <w:rPr>
                              <w:color w:val="FFFFFF"/>
                              <w:sz w:val="10"/>
                            </w:rPr>
                          </w:pPr>
                          <w:r w:rsidRPr="00107A43">
                            <w:rPr>
                              <w:color w:val="FFFFFF"/>
                              <w:sz w:val="10"/>
                            </w:rPr>
                            <w:t xml:space="preserve">The BUSY Group UK Ltd </w:t>
                          </w:r>
                        </w:p>
                        <w:p w14:paraId="274682A7" w14:textId="77777777" w:rsidR="00366547" w:rsidRDefault="00366547" w:rsidP="00366547">
                          <w:pPr>
                            <w:spacing w:before="2"/>
                            <w:ind w:left="20"/>
                            <w:rPr>
                              <w:sz w:val="10"/>
                            </w:rPr>
                          </w:pPr>
                          <w:r w:rsidRPr="00107A43">
                            <w:rPr>
                              <w:color w:val="FFFFFF"/>
                              <w:sz w:val="10"/>
                            </w:rPr>
                            <w:t>Company Number 15234574</w:t>
                          </w:r>
                        </w:p>
                      </w:txbxContent>
                    </wps:txbx>
                    <wps:bodyPr wrap="square" lIns="0" tIns="0" rIns="0" bIns="0" rtlCol="0">
                      <a:noAutofit/>
                    </wps:bodyPr>
                  </wps:wsp>
                </a:graphicData>
              </a:graphic>
              <wp14:sizeRelV relativeFrom="margin">
                <wp14:pctHeight>0</wp14:pctHeight>
              </wp14:sizeRelV>
            </wp:anchor>
          </w:drawing>
        </mc:Choice>
        <mc:Fallback>
          <w:pict>
            <v:shape w14:anchorId="77AA30A0" id="_x0000_s1030" type="#_x0000_t202" style="position:absolute;margin-left:25.8pt;margin-top:786pt;width:47.15pt;height:28.8pt;z-index:-25165311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" filled="f" stroked="f">
              <v:textbox inset="0,0,0,0">
                <w:txbxContent>
                  <w:p w14:paraId="1E90CA48" w14:textId="77777777" w:rsidR="00366547" w:rsidRPr="00107A43" w:rsidRDefault="00366547" w:rsidP="00366547">
                    <w:pPr>
                      <w:spacing w:before="2"/>
                      <w:ind w:left="20"/>
                      <w:rPr>
                        <w:color w:val="FFFFFF"/>
                        <w:sz w:val="10"/>
                      </w:rPr>
                    </w:pPr>
                    <w:r w:rsidRPr="00107A43">
                      <w:rPr>
                        <w:color w:val="FFFFFF"/>
                        <w:sz w:val="10"/>
                      </w:rPr>
                      <w:t xml:space="preserve">The BUSY Group UK Ltd </w:t>
                    </w:r>
                  </w:p>
                  <w:p w14:paraId="33ACFEE1" w14:textId="77777777" w:rsidR="00366547" w:rsidRDefault="00366547" w:rsidP="00366547">
                    <w:pPr>
                      <w:spacing w:before="2"/>
                      <w:ind w:left="20"/>
                      <w:rPr>
                        <w:sz w:val="10"/>
                      </w:rPr>
                    </w:pPr>
                    <w:r w:rsidRPr="00107A43">
                      <w:rPr>
                        <w:color w:val="FFFFFF"/>
                        <w:sz w:val="10"/>
                      </w:rPr>
                      <w:t>Company Number 15234574</w:t>
                    </w:r>
                  </w:p>
                </w:txbxContent>
              </v:textbox>
              <w10:wrap anchorx="page" anchory="page"/>
            </v:shape>
          </w:pict>
        </mc:Fallback>
      </mc:AlternateContent>
    </w:r>
    <w:r>
      <w:rPr>
        <w:noProof/>
      </w:rPr>
      <mc:AlternateContent>
        <mc:Choice Requires="wpg">
          <w:drawing>
            <wp:anchor distT="0" distB="0" distL="0" distR="0" simplePos="0" relativeHeight="251662338" behindDoc="1" locked="0" layoutInCell="1" allowOverlap="1" wp14:anchorId="3799AED9" wp14:editId="1DD57DF8">
              <wp:simplePos x="0" y="0"/>
              <wp:positionH relativeFrom="page">
                <wp:posOffset>9525</wp:posOffset>
              </wp:positionH>
              <wp:positionV relativeFrom="page">
                <wp:posOffset>9820275</wp:posOffset>
              </wp:positionV>
              <wp:extent cx="7554595" cy="85915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4595" cy="859155"/>
                        <a:chOff x="0" y="0"/>
                        <a:chExt cx="7554595" cy="859155"/>
                      </a:xfrm>
                    </wpg:grpSpPr>
                    <wps:wsp>
                      <wps:cNvPr id="3" name="Graphic 3"/>
                      <wps:cNvSpPr/>
                      <wps:spPr>
                        <a:xfrm>
                          <a:off x="0" y="76200"/>
                          <a:ext cx="7554595" cy="782955"/>
                        </a:xfrm>
                        <a:custGeom>
                          <a:avLst/>
                          <a:gdLst/>
                          <a:ahLst/>
                          <a:cxnLst/>
                          <a:rect l="l" t="t" r="r" b="b"/>
                          <a:pathLst>
                            <a:path w="7554595" h="782955">
                              <a:moveTo>
                                <a:pt x="0" y="782955"/>
                              </a:moveTo>
                              <a:lnTo>
                                <a:pt x="7554594" y="782955"/>
                              </a:lnTo>
                              <a:lnTo>
                                <a:pt x="7554594" y="0"/>
                              </a:lnTo>
                              <a:lnTo>
                                <a:pt x="0" y="0"/>
                              </a:lnTo>
                              <a:lnTo>
                                <a:pt x="0" y="782955"/>
                              </a:lnTo>
                              <a:close/>
                            </a:path>
                          </a:pathLst>
                        </a:custGeom>
                        <a:solidFill>
                          <a:srgbClr val="005DAA"/>
                        </a:solidFill>
                      </wps:spPr>
                      <wps:bodyPr wrap="square" lIns="0" tIns="0" rIns="0" bIns="0" rtlCol="0">
                        <a:prstTxWarp prst="textNoShape">
                          <a:avLst/>
                        </a:prstTxWarp>
                        <a:noAutofit/>
                      </wps:bodyPr>
                    </wps:wsp>
                    <wps:wsp>
                      <wps:cNvPr id="4" name="Graphic 4"/>
                      <wps:cNvSpPr/>
                      <wps:spPr>
                        <a:xfrm>
                          <a:off x="19050" y="0"/>
                          <a:ext cx="7535545" cy="76200"/>
                        </a:xfrm>
                        <a:custGeom>
                          <a:avLst/>
                          <a:gdLst/>
                          <a:ahLst/>
                          <a:cxnLst/>
                          <a:rect l="l" t="t" r="r" b="b"/>
                          <a:pathLst>
                            <a:path w="7535545" h="76200">
                              <a:moveTo>
                                <a:pt x="0" y="76200"/>
                              </a:moveTo>
                              <a:lnTo>
                                <a:pt x="7535544" y="76200"/>
                              </a:lnTo>
                              <a:lnTo>
                                <a:pt x="7535544" y="0"/>
                              </a:lnTo>
                              <a:lnTo>
                                <a:pt x="0" y="0"/>
                              </a:lnTo>
                              <a:lnTo>
                                <a:pt x="0" y="76200"/>
                              </a:lnTo>
                              <a:close/>
                            </a:path>
                          </a:pathLst>
                        </a:custGeom>
                        <a:solidFill>
                          <a:srgbClr val="FFDD00"/>
                        </a:solidFill>
                      </wps:spPr>
                      <wps:bodyPr wrap="square" lIns="0" tIns="0" rIns="0" bIns="0" rtlCol="0">
                        <a:prstTxWarp prst="textNoShape">
                          <a:avLst/>
                        </a:prstTxWarp>
                        <a:noAutofit/>
                      </wps:bodyPr>
                    </wps:wsp>
                  </wpg:wgp>
                </a:graphicData>
              </a:graphic>
            </wp:anchor>
          </w:drawing>
        </mc:Choice>
        <mc:Fallback>
          <w:pict>
            <v:group w14:anchorId="56D7F711" id="Group 2" o:spid="_x0000_s1026" style="position:absolute;margin-left:.75pt;margin-top:773.25pt;width:594.85pt;height:67.65pt;z-index:-251654142;mso-wrap-distance-left:0;mso-wrap-distance-right:0;mso-position-horizontal-relative:page;mso-position-vertical-relative:page" coordsize="75545,8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">
              <v:shape id="Graphic 3" o:spid="_x0000_s1027" style="position:absolute;top:762;width:75545;height:7829;visibility:visible;mso-wrap-style:square;v-text-anchor:top" coordsize="7554595,782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" path="m,782955r7554594,l7554594,,,,,782955xe" fillcolor="#005daa" stroked="f">
                <v:path arrowok="t"/>
              </v:shape>
              <v:shape id="Graphic 4" o:spid="_x0000_s1028" style="position:absolute;left:190;width:75355;height:762;visibility:visible;mso-wrap-style:square;v-text-anchor:top" coordsize="753554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" path="m,76200r7535544,l7535544,,,,,76200xe" fillcolor="#fd0" stroked="f">
                <v:path arrowok="t"/>
              </v:shape>
              <w10:wrap anchorx="page" anchory="page"/>
            </v:group>
          </w:pict>
        </mc:Fallback>
      </mc:AlternateContent>
    </w:r>
    <w:r>
      <w:rPr>
        <w:noProof/>
      </w:rPr>
      <mc:AlternateContent>
        <mc:Choice Requires="wps">
          <w:drawing>
            <wp:anchor distT="0" distB="0" distL="0" distR="0" simplePos="0" relativeHeight="251664386" behindDoc="1" locked="0" layoutInCell="1" allowOverlap="1" wp14:anchorId="224E6358" wp14:editId="3445EF0D">
              <wp:simplePos x="0" y="0"/>
              <wp:positionH relativeFrom="page">
                <wp:posOffset>3041395</wp:posOffset>
              </wp:positionH>
              <wp:positionV relativeFrom="page">
                <wp:posOffset>10036824</wp:posOffset>
              </wp:positionV>
              <wp:extent cx="1467485" cy="224154"/>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7485" cy="224154"/>
                      </a:xfrm>
                      <a:prstGeom prst="rect">
                        <a:avLst/>
                      </a:prstGeom>
                    </wps:spPr>
                    <wps:txbx>
                      <w:txbxContent>
                        <w:p w14:paraId="74DE33EB" w14:textId="77777777" w:rsidR="00366547" w:rsidRDefault="00366547" w:rsidP="00366547">
                          <w:pPr>
                            <w:spacing w:before="11"/>
                            <w:ind w:left="20"/>
                            <w:rPr>
                              <w:b/>
                              <w:sz w:val="28"/>
                            </w:rPr>
                          </w:pPr>
                          <w:r>
                            <w:rPr>
                              <w:b/>
                              <w:color w:val="FFFFFF"/>
                              <w:sz w:val="28"/>
                            </w:rPr>
                            <w:t>The</w:t>
                          </w:r>
                          <w:r>
                            <w:rPr>
                              <w:b/>
                              <w:color w:val="FFFFFF"/>
                              <w:spacing w:val="-4"/>
                              <w:sz w:val="28"/>
                            </w:rPr>
                            <w:t xml:space="preserve"> </w:t>
                          </w:r>
                          <w:r>
                            <w:rPr>
                              <w:b/>
                              <w:color w:val="FFFFFF"/>
                              <w:sz w:val="28"/>
                            </w:rPr>
                            <w:t>BUSY</w:t>
                          </w:r>
                          <w:r>
                            <w:rPr>
                              <w:b/>
                              <w:color w:val="FFFFFF"/>
                              <w:spacing w:val="-3"/>
                              <w:sz w:val="28"/>
                            </w:rPr>
                            <w:t xml:space="preserve"> </w:t>
                          </w:r>
                          <w:r>
                            <w:rPr>
                              <w:b/>
                              <w:color w:val="FFFFFF"/>
                              <w:spacing w:val="-4"/>
                              <w:sz w:val="28"/>
                            </w:rPr>
                            <w:t>Group</w:t>
                          </w:r>
                        </w:p>
                      </w:txbxContent>
                    </wps:txbx>
                    <wps:bodyPr wrap="square" lIns="0" tIns="0" rIns="0" bIns="0" rtlCol="0">
                      <a:noAutofit/>
                    </wps:bodyPr>
                  </wps:wsp>
                </a:graphicData>
              </a:graphic>
            </wp:anchor>
          </w:drawing>
        </mc:Choice>
        <mc:Fallback>
          <w:pict>
            <v:shape w14:anchorId="3F367B29" id="_x0000_s1031" type="#_x0000_t202" style="position:absolute;margin-left:239.5pt;margin-top:790.3pt;width:115.55pt;height:17.65pt;z-index:-25165209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" filled="f" stroked="f">
              <v:textbox inset="0,0,0,0">
                <w:txbxContent>
                  <w:p w14:paraId="2E3B397A" w14:textId="77777777" w:rsidR="00366547" w:rsidRDefault="00366547" w:rsidP="00366547">
                    <w:pPr>
                      <w:spacing w:before="11"/>
                      <w:ind w:left="20"/>
                      <w:rPr>
                        <w:b/>
                        <w:sz w:val="28"/>
                      </w:rPr>
                    </w:pPr>
                    <w:r>
                      <w:rPr>
                        <w:b/>
                        <w:color w:val="FFFFFF"/>
                        <w:sz w:val="28"/>
                      </w:rPr>
                      <w:t>The</w:t>
                    </w:r>
                    <w:r>
                      <w:rPr>
                        <w:b/>
                        <w:color w:val="FFFFFF"/>
                        <w:spacing w:val="-4"/>
                        <w:sz w:val="28"/>
                      </w:rPr>
                      <w:t xml:space="preserve"> </w:t>
                    </w:r>
                    <w:r>
                      <w:rPr>
                        <w:b/>
                        <w:color w:val="FFFFFF"/>
                        <w:sz w:val="28"/>
                      </w:rPr>
                      <w:t>BUSY</w:t>
                    </w:r>
                    <w:r>
                      <w:rPr>
                        <w:b/>
                        <w:color w:val="FFFFFF"/>
                        <w:spacing w:val="-3"/>
                        <w:sz w:val="28"/>
                      </w:rPr>
                      <w:t xml:space="preserve"> </w:t>
                    </w:r>
                    <w:r>
                      <w:rPr>
                        <w:b/>
                        <w:color w:val="FFFFFF"/>
                        <w:spacing w:val="-4"/>
                        <w:sz w:val="28"/>
                      </w:rPr>
                      <w:t>Group</w:t>
                    </w:r>
                  </w:p>
                </w:txbxContent>
              </v:textbox>
              <w10:wrap anchorx="page" anchory="page"/>
            </v:shape>
          </w:pict>
        </mc:Fallback>
      </mc:AlternateContent>
    </w:r>
  </w:p>
  <w:p w14:paraId="1F3D1090" w14:textId="77777777" w:rsidR="00D96603" w:rsidRDefault="00D966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6EE71" w14:textId="77777777" w:rsidR="00D3400D" w:rsidRDefault="00D3400D" w:rsidP="00AC3A2B">
      <w:r>
        <w:separator/>
      </w:r>
    </w:p>
  </w:footnote>
  <w:footnote w:type="continuationSeparator" w:id="0">
    <w:p w14:paraId="34FF6385" w14:textId="77777777" w:rsidR="00D3400D" w:rsidRDefault="00D3400D" w:rsidP="00AC3A2B">
      <w:r>
        <w:continuationSeparator/>
      </w:r>
    </w:p>
  </w:footnote>
  <w:footnote w:type="continuationNotice" w:id="1">
    <w:p w14:paraId="576728CD" w14:textId="77777777" w:rsidR="00D3400D" w:rsidRDefault="00D340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CA816" w14:textId="77777777" w:rsidR="00A63428" w:rsidRDefault="00A634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247E2" w14:textId="77777777" w:rsidR="00A63428" w:rsidRDefault="00A634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58FE1" w14:textId="77777777" w:rsidR="00AB6B34" w:rsidRDefault="00BD58EC">
    <w:pPr>
      <w:pStyle w:val="Header"/>
    </w:pPr>
    <w:r>
      <w:rPr>
        <w:noProof/>
      </w:rPr>
      <w:drawing>
        <wp:anchor distT="0" distB="0" distL="114300" distR="114300" simplePos="0" relativeHeight="251660290" behindDoc="1" locked="0" layoutInCell="1" allowOverlap="1" wp14:anchorId="7EDB5726" wp14:editId="3FAB5506">
          <wp:simplePos x="0" y="0"/>
          <wp:positionH relativeFrom="column">
            <wp:posOffset>-161925</wp:posOffset>
          </wp:positionH>
          <wp:positionV relativeFrom="paragraph">
            <wp:posOffset>-95885</wp:posOffset>
          </wp:positionV>
          <wp:extent cx="2901600" cy="900000"/>
          <wp:effectExtent l="0" t="0" r="0" b="0"/>
          <wp:wrapTight wrapText="bothSides">
            <wp:wrapPolygon edited="0">
              <wp:start x="0" y="0"/>
              <wp:lineTo x="0" y="21036"/>
              <wp:lineTo x="21416" y="21036"/>
              <wp:lineTo x="21416" y="0"/>
              <wp:lineTo x="0" y="0"/>
            </wp:wrapPolygon>
          </wp:wrapTight>
          <wp:docPr id="2017408080" name="Picture 1" descr="A blu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408080" name="Picture 2017408080" descr="A blue and yellow tex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1600" cy="9000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pt;height:332.5pt;visibility:visible;mso-wrap-style:square" o:bullet="t">
        <v:imagedata r:id="rId1" o:title=""/>
      </v:shape>
    </w:pict>
  </w:numPicBullet>
  <w:abstractNum w:abstractNumId="0" w15:restartNumberingAfterBreak="0">
    <w:nsid w:val="048B79AA"/>
    <w:multiLevelType w:val="hybridMultilevel"/>
    <w:tmpl w:val="9CF84A8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A5646AB"/>
    <w:multiLevelType w:val="hybridMultilevel"/>
    <w:tmpl w:val="63260680"/>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C5F44C3"/>
    <w:multiLevelType w:val="hybridMultilevel"/>
    <w:tmpl w:val="4DB221C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E895D81"/>
    <w:multiLevelType w:val="hybridMultilevel"/>
    <w:tmpl w:val="37C4A648"/>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2C37CF9"/>
    <w:multiLevelType w:val="hybridMultilevel"/>
    <w:tmpl w:val="B2B45800"/>
    <w:lvl w:ilvl="0" w:tplc="0809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 w15:restartNumberingAfterBreak="0">
    <w:nsid w:val="14F52B56"/>
    <w:multiLevelType w:val="hybridMultilevel"/>
    <w:tmpl w:val="7ECE096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7E734D2"/>
    <w:multiLevelType w:val="hybridMultilevel"/>
    <w:tmpl w:val="8AB6005A"/>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9B56EDC"/>
    <w:multiLevelType w:val="hybridMultilevel"/>
    <w:tmpl w:val="9A7E7D34"/>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AF3123E"/>
    <w:multiLevelType w:val="hybridMultilevel"/>
    <w:tmpl w:val="2FD0BCD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EA42B74"/>
    <w:multiLevelType w:val="hybridMultilevel"/>
    <w:tmpl w:val="93860404"/>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4AF17AC"/>
    <w:multiLevelType w:val="hybridMultilevel"/>
    <w:tmpl w:val="A1D2995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56B4434"/>
    <w:multiLevelType w:val="hybridMultilevel"/>
    <w:tmpl w:val="8F24E38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A507186"/>
    <w:multiLevelType w:val="hybridMultilevel"/>
    <w:tmpl w:val="04C0B04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B83035D"/>
    <w:multiLevelType w:val="hybridMultilevel"/>
    <w:tmpl w:val="88D495CE"/>
    <w:lvl w:ilvl="0" w:tplc="08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 w15:restartNumberingAfterBreak="0">
    <w:nsid w:val="30FF676A"/>
    <w:multiLevelType w:val="hybridMultilevel"/>
    <w:tmpl w:val="8CDE9CB8"/>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52634FE"/>
    <w:multiLevelType w:val="hybridMultilevel"/>
    <w:tmpl w:val="6178B0DE"/>
    <w:lvl w:ilvl="0" w:tplc="08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6" w15:restartNumberingAfterBreak="0">
    <w:nsid w:val="37A73BDC"/>
    <w:multiLevelType w:val="hybridMultilevel"/>
    <w:tmpl w:val="38B0046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7BE3F7F"/>
    <w:multiLevelType w:val="hybridMultilevel"/>
    <w:tmpl w:val="4E3A98BA"/>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A103BED"/>
    <w:multiLevelType w:val="hybridMultilevel"/>
    <w:tmpl w:val="5650C8FE"/>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A3E2AEB"/>
    <w:multiLevelType w:val="hybridMultilevel"/>
    <w:tmpl w:val="8A5C72F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C5D0983"/>
    <w:multiLevelType w:val="hybridMultilevel"/>
    <w:tmpl w:val="347CFF36"/>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42947915"/>
    <w:multiLevelType w:val="hybridMultilevel"/>
    <w:tmpl w:val="ECF64606"/>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2D65613"/>
    <w:multiLevelType w:val="hybridMultilevel"/>
    <w:tmpl w:val="C972CDA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3607F14"/>
    <w:multiLevelType w:val="hybridMultilevel"/>
    <w:tmpl w:val="FA181632"/>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45FE6535"/>
    <w:multiLevelType w:val="hybridMultilevel"/>
    <w:tmpl w:val="BC5ED122"/>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8930201"/>
    <w:multiLevelType w:val="hybridMultilevel"/>
    <w:tmpl w:val="25D49FF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4CAF079E"/>
    <w:multiLevelType w:val="hybridMultilevel"/>
    <w:tmpl w:val="6882E524"/>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0B1583A"/>
    <w:multiLevelType w:val="hybridMultilevel"/>
    <w:tmpl w:val="0032C480"/>
    <w:lvl w:ilvl="0" w:tplc="08090001">
      <w:start w:val="1"/>
      <w:numFmt w:val="bullet"/>
      <w:lvlText w:val=""/>
      <w:lvlJc w:val="left"/>
      <w:pPr>
        <w:ind w:left="360" w:hanging="360"/>
      </w:pPr>
      <w:rPr>
        <w:rFonts w:ascii="Symbol" w:hAnsi="Symbol" w:hint="default"/>
      </w:rPr>
    </w:lvl>
    <w:lvl w:ilvl="1" w:tplc="20000003">
      <w:start w:val="1"/>
      <w:numFmt w:val="bullet"/>
      <w:lvlText w:val="o"/>
      <w:lvlJc w:val="left"/>
      <w:pPr>
        <w:ind w:left="530" w:hanging="360"/>
      </w:pPr>
      <w:rPr>
        <w:rFonts w:ascii="Courier New" w:hAnsi="Courier New" w:cs="Courier New" w:hint="default"/>
      </w:rPr>
    </w:lvl>
    <w:lvl w:ilvl="2" w:tplc="20000005" w:tentative="1">
      <w:start w:val="1"/>
      <w:numFmt w:val="bullet"/>
      <w:lvlText w:val=""/>
      <w:lvlJc w:val="left"/>
      <w:pPr>
        <w:ind w:left="1250" w:hanging="360"/>
      </w:pPr>
      <w:rPr>
        <w:rFonts w:ascii="Wingdings" w:hAnsi="Wingdings" w:hint="default"/>
      </w:rPr>
    </w:lvl>
    <w:lvl w:ilvl="3" w:tplc="20000001" w:tentative="1">
      <w:start w:val="1"/>
      <w:numFmt w:val="bullet"/>
      <w:lvlText w:val=""/>
      <w:lvlJc w:val="left"/>
      <w:pPr>
        <w:ind w:left="1970" w:hanging="360"/>
      </w:pPr>
      <w:rPr>
        <w:rFonts w:ascii="Symbol" w:hAnsi="Symbol" w:hint="default"/>
      </w:rPr>
    </w:lvl>
    <w:lvl w:ilvl="4" w:tplc="20000003" w:tentative="1">
      <w:start w:val="1"/>
      <w:numFmt w:val="bullet"/>
      <w:lvlText w:val="o"/>
      <w:lvlJc w:val="left"/>
      <w:pPr>
        <w:ind w:left="2690" w:hanging="360"/>
      </w:pPr>
      <w:rPr>
        <w:rFonts w:ascii="Courier New" w:hAnsi="Courier New" w:cs="Courier New" w:hint="default"/>
      </w:rPr>
    </w:lvl>
    <w:lvl w:ilvl="5" w:tplc="20000005" w:tentative="1">
      <w:start w:val="1"/>
      <w:numFmt w:val="bullet"/>
      <w:lvlText w:val=""/>
      <w:lvlJc w:val="left"/>
      <w:pPr>
        <w:ind w:left="3410" w:hanging="360"/>
      </w:pPr>
      <w:rPr>
        <w:rFonts w:ascii="Wingdings" w:hAnsi="Wingdings" w:hint="default"/>
      </w:rPr>
    </w:lvl>
    <w:lvl w:ilvl="6" w:tplc="20000001" w:tentative="1">
      <w:start w:val="1"/>
      <w:numFmt w:val="bullet"/>
      <w:lvlText w:val=""/>
      <w:lvlJc w:val="left"/>
      <w:pPr>
        <w:ind w:left="4130" w:hanging="360"/>
      </w:pPr>
      <w:rPr>
        <w:rFonts w:ascii="Symbol" w:hAnsi="Symbol" w:hint="default"/>
      </w:rPr>
    </w:lvl>
    <w:lvl w:ilvl="7" w:tplc="20000003" w:tentative="1">
      <w:start w:val="1"/>
      <w:numFmt w:val="bullet"/>
      <w:lvlText w:val="o"/>
      <w:lvlJc w:val="left"/>
      <w:pPr>
        <w:ind w:left="4850" w:hanging="360"/>
      </w:pPr>
      <w:rPr>
        <w:rFonts w:ascii="Courier New" w:hAnsi="Courier New" w:cs="Courier New" w:hint="default"/>
      </w:rPr>
    </w:lvl>
    <w:lvl w:ilvl="8" w:tplc="20000005" w:tentative="1">
      <w:start w:val="1"/>
      <w:numFmt w:val="bullet"/>
      <w:lvlText w:val=""/>
      <w:lvlJc w:val="left"/>
      <w:pPr>
        <w:ind w:left="5570" w:hanging="360"/>
      </w:pPr>
      <w:rPr>
        <w:rFonts w:ascii="Wingdings" w:hAnsi="Wingdings" w:hint="default"/>
      </w:rPr>
    </w:lvl>
  </w:abstractNum>
  <w:abstractNum w:abstractNumId="28" w15:restartNumberingAfterBreak="0">
    <w:nsid w:val="510D26A4"/>
    <w:multiLevelType w:val="hybridMultilevel"/>
    <w:tmpl w:val="2E7E067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17D5CBF"/>
    <w:multiLevelType w:val="hybridMultilevel"/>
    <w:tmpl w:val="4D12FC06"/>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34119A4"/>
    <w:multiLevelType w:val="hybridMultilevel"/>
    <w:tmpl w:val="19D45C4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1" w15:restartNumberingAfterBreak="0">
    <w:nsid w:val="574419C6"/>
    <w:multiLevelType w:val="hybridMultilevel"/>
    <w:tmpl w:val="049AD0B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ADB4809"/>
    <w:multiLevelType w:val="hybridMultilevel"/>
    <w:tmpl w:val="8D4C0E68"/>
    <w:lvl w:ilvl="0" w:tplc="08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3" w15:restartNumberingAfterBreak="0">
    <w:nsid w:val="61350820"/>
    <w:multiLevelType w:val="hybridMultilevel"/>
    <w:tmpl w:val="D7E29F8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63365832"/>
    <w:multiLevelType w:val="hybridMultilevel"/>
    <w:tmpl w:val="2EC82B52"/>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642D6753"/>
    <w:multiLevelType w:val="hybridMultilevel"/>
    <w:tmpl w:val="721AAD1E"/>
    <w:lvl w:ilvl="0" w:tplc="0809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6592883"/>
    <w:multiLevelType w:val="hybridMultilevel"/>
    <w:tmpl w:val="E6920F5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67C6DEE"/>
    <w:multiLevelType w:val="hybridMultilevel"/>
    <w:tmpl w:val="2F44B1D2"/>
    <w:lvl w:ilvl="0" w:tplc="08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8" w15:restartNumberingAfterBreak="0">
    <w:nsid w:val="677D7B2F"/>
    <w:multiLevelType w:val="hybridMultilevel"/>
    <w:tmpl w:val="C862E14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360" w:hanging="360"/>
      </w:pPr>
      <w:rPr>
        <w:rFonts w:ascii="Courier New" w:hAnsi="Courier New" w:cs="Courier New" w:hint="default"/>
      </w:rPr>
    </w:lvl>
    <w:lvl w:ilvl="2" w:tplc="FFFFFFFF" w:tentative="1">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9" w15:restartNumberingAfterBreak="0">
    <w:nsid w:val="680423AA"/>
    <w:multiLevelType w:val="hybridMultilevel"/>
    <w:tmpl w:val="C9266B24"/>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69576C5D"/>
    <w:multiLevelType w:val="hybridMultilevel"/>
    <w:tmpl w:val="FD042A1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6BED2E7B"/>
    <w:multiLevelType w:val="hybridMultilevel"/>
    <w:tmpl w:val="B97A221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2" w15:restartNumberingAfterBreak="0">
    <w:nsid w:val="6DA77CD9"/>
    <w:multiLevelType w:val="hybridMultilevel"/>
    <w:tmpl w:val="A42490A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6DF344C8"/>
    <w:multiLevelType w:val="hybridMultilevel"/>
    <w:tmpl w:val="C1D20754"/>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6E93491A"/>
    <w:multiLevelType w:val="hybridMultilevel"/>
    <w:tmpl w:val="395609CA"/>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6ED0644F"/>
    <w:multiLevelType w:val="hybridMultilevel"/>
    <w:tmpl w:val="0E6C8348"/>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6FB00E9D"/>
    <w:multiLevelType w:val="hybridMultilevel"/>
    <w:tmpl w:val="902E9CD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70BC3C98"/>
    <w:multiLevelType w:val="hybridMultilevel"/>
    <w:tmpl w:val="91E0B35A"/>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75B62646"/>
    <w:multiLevelType w:val="hybridMultilevel"/>
    <w:tmpl w:val="2D6CF52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768059E1"/>
    <w:multiLevelType w:val="hybridMultilevel"/>
    <w:tmpl w:val="D164602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79C43170"/>
    <w:multiLevelType w:val="hybridMultilevel"/>
    <w:tmpl w:val="A5B206CC"/>
    <w:lvl w:ilvl="0" w:tplc="0809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1" w15:restartNumberingAfterBreak="0">
    <w:nsid w:val="7A0E4623"/>
    <w:multiLevelType w:val="hybridMultilevel"/>
    <w:tmpl w:val="C9D2FAF4"/>
    <w:lvl w:ilvl="0" w:tplc="0C090001">
      <w:start w:val="1"/>
      <w:numFmt w:val="bullet"/>
      <w:lvlText w:val=""/>
      <w:lvlJc w:val="left"/>
      <w:pPr>
        <w:ind w:left="742" w:hanging="360"/>
      </w:pPr>
      <w:rPr>
        <w:rFonts w:ascii="Symbol" w:hAnsi="Symbol" w:hint="default"/>
      </w:rPr>
    </w:lvl>
    <w:lvl w:ilvl="1" w:tplc="0C090003" w:tentative="1">
      <w:start w:val="1"/>
      <w:numFmt w:val="bullet"/>
      <w:lvlText w:val="o"/>
      <w:lvlJc w:val="left"/>
      <w:pPr>
        <w:ind w:left="1462" w:hanging="360"/>
      </w:pPr>
      <w:rPr>
        <w:rFonts w:ascii="Courier New" w:hAnsi="Courier New" w:cs="Courier New" w:hint="default"/>
      </w:rPr>
    </w:lvl>
    <w:lvl w:ilvl="2" w:tplc="0C090005" w:tentative="1">
      <w:start w:val="1"/>
      <w:numFmt w:val="bullet"/>
      <w:lvlText w:val=""/>
      <w:lvlJc w:val="left"/>
      <w:pPr>
        <w:ind w:left="2182" w:hanging="360"/>
      </w:pPr>
      <w:rPr>
        <w:rFonts w:ascii="Wingdings" w:hAnsi="Wingdings" w:hint="default"/>
      </w:rPr>
    </w:lvl>
    <w:lvl w:ilvl="3" w:tplc="0C090001" w:tentative="1">
      <w:start w:val="1"/>
      <w:numFmt w:val="bullet"/>
      <w:lvlText w:val=""/>
      <w:lvlJc w:val="left"/>
      <w:pPr>
        <w:ind w:left="2902" w:hanging="360"/>
      </w:pPr>
      <w:rPr>
        <w:rFonts w:ascii="Symbol" w:hAnsi="Symbol" w:hint="default"/>
      </w:rPr>
    </w:lvl>
    <w:lvl w:ilvl="4" w:tplc="0C090003" w:tentative="1">
      <w:start w:val="1"/>
      <w:numFmt w:val="bullet"/>
      <w:lvlText w:val="o"/>
      <w:lvlJc w:val="left"/>
      <w:pPr>
        <w:ind w:left="3622" w:hanging="360"/>
      </w:pPr>
      <w:rPr>
        <w:rFonts w:ascii="Courier New" w:hAnsi="Courier New" w:cs="Courier New" w:hint="default"/>
      </w:rPr>
    </w:lvl>
    <w:lvl w:ilvl="5" w:tplc="0C090005" w:tentative="1">
      <w:start w:val="1"/>
      <w:numFmt w:val="bullet"/>
      <w:lvlText w:val=""/>
      <w:lvlJc w:val="left"/>
      <w:pPr>
        <w:ind w:left="4342" w:hanging="360"/>
      </w:pPr>
      <w:rPr>
        <w:rFonts w:ascii="Wingdings" w:hAnsi="Wingdings" w:hint="default"/>
      </w:rPr>
    </w:lvl>
    <w:lvl w:ilvl="6" w:tplc="0C090001" w:tentative="1">
      <w:start w:val="1"/>
      <w:numFmt w:val="bullet"/>
      <w:lvlText w:val=""/>
      <w:lvlJc w:val="left"/>
      <w:pPr>
        <w:ind w:left="5062" w:hanging="360"/>
      </w:pPr>
      <w:rPr>
        <w:rFonts w:ascii="Symbol" w:hAnsi="Symbol" w:hint="default"/>
      </w:rPr>
    </w:lvl>
    <w:lvl w:ilvl="7" w:tplc="0C090003" w:tentative="1">
      <w:start w:val="1"/>
      <w:numFmt w:val="bullet"/>
      <w:lvlText w:val="o"/>
      <w:lvlJc w:val="left"/>
      <w:pPr>
        <w:ind w:left="5782" w:hanging="360"/>
      </w:pPr>
      <w:rPr>
        <w:rFonts w:ascii="Courier New" w:hAnsi="Courier New" w:cs="Courier New" w:hint="default"/>
      </w:rPr>
    </w:lvl>
    <w:lvl w:ilvl="8" w:tplc="0C090005" w:tentative="1">
      <w:start w:val="1"/>
      <w:numFmt w:val="bullet"/>
      <w:lvlText w:val=""/>
      <w:lvlJc w:val="left"/>
      <w:pPr>
        <w:ind w:left="6502" w:hanging="360"/>
      </w:pPr>
      <w:rPr>
        <w:rFonts w:ascii="Wingdings" w:hAnsi="Wingdings" w:hint="default"/>
      </w:rPr>
    </w:lvl>
  </w:abstractNum>
  <w:abstractNum w:abstractNumId="52" w15:restartNumberingAfterBreak="0">
    <w:nsid w:val="7A8468C2"/>
    <w:multiLevelType w:val="hybridMultilevel"/>
    <w:tmpl w:val="6F941A30"/>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7C3436B1"/>
    <w:multiLevelType w:val="hybridMultilevel"/>
    <w:tmpl w:val="62083CEE"/>
    <w:lvl w:ilvl="0" w:tplc="FB604084">
      <w:start w:val="1"/>
      <w:numFmt w:val="bullet"/>
      <w:pStyle w:val="4Bulletedcopyblue"/>
      <w:lvlText w:val=""/>
      <w:lvlPicBulletId w:val="0"/>
      <w:lvlJc w:val="left"/>
      <w:pPr>
        <w:ind w:left="340" w:hanging="170"/>
      </w:pPr>
      <w:rPr>
        <w:rFonts w:ascii="Symbol" w:hAnsi="Symbol" w:hint="default"/>
        <w:color w:val="auto"/>
        <w:sz w:val="10"/>
        <w:szCs w:val="10"/>
      </w:rPr>
    </w:lvl>
    <w:lvl w:ilvl="1" w:tplc="08090001">
      <w:start w:val="1"/>
      <w:numFmt w:val="bullet"/>
      <w:lvlText w:val=""/>
      <w:lvlJc w:val="left"/>
      <w:pPr>
        <w:ind w:left="1270" w:hanging="360"/>
      </w:pPr>
      <w:rPr>
        <w:rFonts w:ascii="Symbol" w:hAnsi="Symbol"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54" w15:restartNumberingAfterBreak="0">
    <w:nsid w:val="7DE218C6"/>
    <w:multiLevelType w:val="hybridMultilevel"/>
    <w:tmpl w:val="27CC02EC"/>
    <w:lvl w:ilvl="0" w:tplc="08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092898401">
    <w:abstractNumId w:val="53"/>
  </w:num>
  <w:num w:numId="2" w16cid:durableId="364674672">
    <w:abstractNumId w:val="51"/>
  </w:num>
  <w:num w:numId="3" w16cid:durableId="1583104236">
    <w:abstractNumId w:val="27"/>
  </w:num>
  <w:num w:numId="4" w16cid:durableId="1488328343">
    <w:abstractNumId w:val="32"/>
  </w:num>
  <w:num w:numId="5" w16cid:durableId="710568177">
    <w:abstractNumId w:val="14"/>
  </w:num>
  <w:num w:numId="6" w16cid:durableId="164974352">
    <w:abstractNumId w:val="45"/>
  </w:num>
  <w:num w:numId="7" w16cid:durableId="1624581166">
    <w:abstractNumId w:val="18"/>
  </w:num>
  <w:num w:numId="8" w16cid:durableId="264119097">
    <w:abstractNumId w:val="2"/>
  </w:num>
  <w:num w:numId="9" w16cid:durableId="854928155">
    <w:abstractNumId w:val="35"/>
  </w:num>
  <w:num w:numId="10" w16cid:durableId="211313426">
    <w:abstractNumId w:val="38"/>
  </w:num>
  <w:num w:numId="11" w16cid:durableId="632685333">
    <w:abstractNumId w:val="40"/>
  </w:num>
  <w:num w:numId="12" w16cid:durableId="793407856">
    <w:abstractNumId w:val="15"/>
  </w:num>
  <w:num w:numId="13" w16cid:durableId="719744353">
    <w:abstractNumId w:val="37"/>
  </w:num>
  <w:num w:numId="14" w16cid:durableId="280189345">
    <w:abstractNumId w:val="20"/>
  </w:num>
  <w:num w:numId="15" w16cid:durableId="1964773348">
    <w:abstractNumId w:val="24"/>
  </w:num>
  <w:num w:numId="16" w16cid:durableId="338508344">
    <w:abstractNumId w:val="10"/>
  </w:num>
  <w:num w:numId="17" w16cid:durableId="1201671883">
    <w:abstractNumId w:val="23"/>
  </w:num>
  <w:num w:numId="18" w16cid:durableId="1388142706">
    <w:abstractNumId w:val="26"/>
  </w:num>
  <w:num w:numId="19" w16cid:durableId="1838032314">
    <w:abstractNumId w:val="31"/>
  </w:num>
  <w:num w:numId="20" w16cid:durableId="302583147">
    <w:abstractNumId w:val="48"/>
  </w:num>
  <w:num w:numId="21" w16cid:durableId="734283577">
    <w:abstractNumId w:val="8"/>
  </w:num>
  <w:num w:numId="22" w16cid:durableId="1699816546">
    <w:abstractNumId w:val="41"/>
  </w:num>
  <w:num w:numId="23" w16cid:durableId="1114443416">
    <w:abstractNumId w:val="0"/>
  </w:num>
  <w:num w:numId="24" w16cid:durableId="362052831">
    <w:abstractNumId w:val="17"/>
  </w:num>
  <w:num w:numId="25" w16cid:durableId="479617248">
    <w:abstractNumId w:val="25"/>
  </w:num>
  <w:num w:numId="26" w16cid:durableId="896090894">
    <w:abstractNumId w:val="13"/>
  </w:num>
  <w:num w:numId="27" w16cid:durableId="1770929795">
    <w:abstractNumId w:val="50"/>
  </w:num>
  <w:num w:numId="28" w16cid:durableId="1720058012">
    <w:abstractNumId w:val="4"/>
  </w:num>
  <w:num w:numId="29" w16cid:durableId="732311056">
    <w:abstractNumId w:val="6"/>
  </w:num>
  <w:num w:numId="30" w16cid:durableId="1741562595">
    <w:abstractNumId w:val="30"/>
  </w:num>
  <w:num w:numId="31" w16cid:durableId="1478911736">
    <w:abstractNumId w:val="52"/>
  </w:num>
  <w:num w:numId="32" w16cid:durableId="1899508925">
    <w:abstractNumId w:val="46"/>
  </w:num>
  <w:num w:numId="33" w16cid:durableId="138307209">
    <w:abstractNumId w:val="43"/>
  </w:num>
  <w:num w:numId="34" w16cid:durableId="530387971">
    <w:abstractNumId w:val="34"/>
  </w:num>
  <w:num w:numId="35" w16cid:durableId="735855571">
    <w:abstractNumId w:val="16"/>
  </w:num>
  <w:num w:numId="36" w16cid:durableId="895311792">
    <w:abstractNumId w:val="12"/>
  </w:num>
  <w:num w:numId="37" w16cid:durableId="428351272">
    <w:abstractNumId w:val="54"/>
  </w:num>
  <w:num w:numId="38" w16cid:durableId="1305237187">
    <w:abstractNumId w:val="19"/>
  </w:num>
  <w:num w:numId="39" w16cid:durableId="1053850092">
    <w:abstractNumId w:val="9"/>
  </w:num>
  <w:num w:numId="40" w16cid:durableId="540825034">
    <w:abstractNumId w:val="42"/>
  </w:num>
  <w:num w:numId="41" w16cid:durableId="763723638">
    <w:abstractNumId w:val="11"/>
  </w:num>
  <w:num w:numId="42" w16cid:durableId="1549100838">
    <w:abstractNumId w:val="36"/>
  </w:num>
  <w:num w:numId="43" w16cid:durableId="1053113871">
    <w:abstractNumId w:val="5"/>
  </w:num>
  <w:num w:numId="44" w16cid:durableId="1530097382">
    <w:abstractNumId w:val="22"/>
  </w:num>
  <w:num w:numId="45" w16cid:durableId="1971939026">
    <w:abstractNumId w:val="33"/>
  </w:num>
  <w:num w:numId="46" w16cid:durableId="1219511799">
    <w:abstractNumId w:val="29"/>
  </w:num>
  <w:num w:numId="47" w16cid:durableId="516581980">
    <w:abstractNumId w:val="3"/>
  </w:num>
  <w:num w:numId="48" w16cid:durableId="180706385">
    <w:abstractNumId w:val="39"/>
  </w:num>
  <w:num w:numId="49" w16cid:durableId="1031757606">
    <w:abstractNumId w:val="1"/>
  </w:num>
  <w:num w:numId="50" w16cid:durableId="1603149970">
    <w:abstractNumId w:val="21"/>
  </w:num>
  <w:num w:numId="51" w16cid:durableId="1905750559">
    <w:abstractNumId w:val="28"/>
  </w:num>
  <w:num w:numId="52" w16cid:durableId="1998458469">
    <w:abstractNumId w:val="49"/>
  </w:num>
  <w:num w:numId="53" w16cid:durableId="1856192299">
    <w:abstractNumId w:val="7"/>
  </w:num>
  <w:num w:numId="54" w16cid:durableId="1600677096">
    <w:abstractNumId w:val="44"/>
  </w:num>
  <w:num w:numId="55" w16cid:durableId="1898398133">
    <w:abstractNumId w:val="4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e2sLAwNDMxNTewMDVT0lEKTi0uzszPAykwNKoFABampcAtAAAA"/>
  </w:docVars>
  <w:rsids>
    <w:rsidRoot w:val="00EF0074"/>
    <w:rsid w:val="00000349"/>
    <w:rsid w:val="0000448D"/>
    <w:rsid w:val="000119B5"/>
    <w:rsid w:val="00011F8F"/>
    <w:rsid w:val="00014382"/>
    <w:rsid w:val="000143F6"/>
    <w:rsid w:val="00024287"/>
    <w:rsid w:val="00026276"/>
    <w:rsid w:val="00034ADC"/>
    <w:rsid w:val="000449E0"/>
    <w:rsid w:val="00051CEA"/>
    <w:rsid w:val="0005541E"/>
    <w:rsid w:val="0006051E"/>
    <w:rsid w:val="00062CAB"/>
    <w:rsid w:val="00063D5B"/>
    <w:rsid w:val="000667A8"/>
    <w:rsid w:val="00066940"/>
    <w:rsid w:val="000737B4"/>
    <w:rsid w:val="0007394A"/>
    <w:rsid w:val="000766C2"/>
    <w:rsid w:val="00077D34"/>
    <w:rsid w:val="0008175E"/>
    <w:rsid w:val="00084A95"/>
    <w:rsid w:val="00087F4E"/>
    <w:rsid w:val="000905F3"/>
    <w:rsid w:val="00090A4E"/>
    <w:rsid w:val="0009130E"/>
    <w:rsid w:val="00091648"/>
    <w:rsid w:val="00094321"/>
    <w:rsid w:val="000A7463"/>
    <w:rsid w:val="000B2995"/>
    <w:rsid w:val="000B4B7C"/>
    <w:rsid w:val="000B618A"/>
    <w:rsid w:val="000B7C70"/>
    <w:rsid w:val="000C50E0"/>
    <w:rsid w:val="000C58AC"/>
    <w:rsid w:val="000D1B90"/>
    <w:rsid w:val="000E2BD6"/>
    <w:rsid w:val="000F5BE2"/>
    <w:rsid w:val="000F63FD"/>
    <w:rsid w:val="0010378D"/>
    <w:rsid w:val="00104392"/>
    <w:rsid w:val="00105BDC"/>
    <w:rsid w:val="0010776F"/>
    <w:rsid w:val="00111B48"/>
    <w:rsid w:val="00113A19"/>
    <w:rsid w:val="00115702"/>
    <w:rsid w:val="00117020"/>
    <w:rsid w:val="00120F9A"/>
    <w:rsid w:val="00122E5E"/>
    <w:rsid w:val="00123F3C"/>
    <w:rsid w:val="00126DEC"/>
    <w:rsid w:val="001329A1"/>
    <w:rsid w:val="0014305E"/>
    <w:rsid w:val="001531CA"/>
    <w:rsid w:val="0015532D"/>
    <w:rsid w:val="00155B51"/>
    <w:rsid w:val="00156296"/>
    <w:rsid w:val="00156782"/>
    <w:rsid w:val="001605BB"/>
    <w:rsid w:val="00162FE3"/>
    <w:rsid w:val="001631EA"/>
    <w:rsid w:val="00164418"/>
    <w:rsid w:val="001669FA"/>
    <w:rsid w:val="00171D2D"/>
    <w:rsid w:val="00177E3E"/>
    <w:rsid w:val="0018114F"/>
    <w:rsid w:val="00182729"/>
    <w:rsid w:val="0018515B"/>
    <w:rsid w:val="00187E64"/>
    <w:rsid w:val="00197AE1"/>
    <w:rsid w:val="00197EEF"/>
    <w:rsid w:val="001A00CE"/>
    <w:rsid w:val="001A10FA"/>
    <w:rsid w:val="001A2A0C"/>
    <w:rsid w:val="001A2DCA"/>
    <w:rsid w:val="001B0EB5"/>
    <w:rsid w:val="001B593F"/>
    <w:rsid w:val="001B649A"/>
    <w:rsid w:val="001C149A"/>
    <w:rsid w:val="001D67D1"/>
    <w:rsid w:val="001D735D"/>
    <w:rsid w:val="001E47AC"/>
    <w:rsid w:val="001E7A13"/>
    <w:rsid w:val="001F0B48"/>
    <w:rsid w:val="001F5142"/>
    <w:rsid w:val="00200BDE"/>
    <w:rsid w:val="00200D12"/>
    <w:rsid w:val="00203AA9"/>
    <w:rsid w:val="00205BD3"/>
    <w:rsid w:val="0021089B"/>
    <w:rsid w:val="002119FA"/>
    <w:rsid w:val="00214F43"/>
    <w:rsid w:val="00220869"/>
    <w:rsid w:val="002220C5"/>
    <w:rsid w:val="0022342D"/>
    <w:rsid w:val="0022679C"/>
    <w:rsid w:val="00227C98"/>
    <w:rsid w:val="00233609"/>
    <w:rsid w:val="00251029"/>
    <w:rsid w:val="00262840"/>
    <w:rsid w:val="00263F44"/>
    <w:rsid w:val="00265DA2"/>
    <w:rsid w:val="002762C8"/>
    <w:rsid w:val="0027667F"/>
    <w:rsid w:val="00277AD4"/>
    <w:rsid w:val="00277C55"/>
    <w:rsid w:val="002937B2"/>
    <w:rsid w:val="00293D76"/>
    <w:rsid w:val="0029443A"/>
    <w:rsid w:val="002A4439"/>
    <w:rsid w:val="002A685A"/>
    <w:rsid w:val="002A6D7E"/>
    <w:rsid w:val="002C7B22"/>
    <w:rsid w:val="002D0E9C"/>
    <w:rsid w:val="002D3C66"/>
    <w:rsid w:val="002D682D"/>
    <w:rsid w:val="002E108F"/>
    <w:rsid w:val="002E159B"/>
    <w:rsid w:val="002E16EF"/>
    <w:rsid w:val="002E2655"/>
    <w:rsid w:val="002E4440"/>
    <w:rsid w:val="002E4A36"/>
    <w:rsid w:val="002F01D4"/>
    <w:rsid w:val="002F2A7B"/>
    <w:rsid w:val="002F3A37"/>
    <w:rsid w:val="002F6CD5"/>
    <w:rsid w:val="00300095"/>
    <w:rsid w:val="00301C3A"/>
    <w:rsid w:val="0030361A"/>
    <w:rsid w:val="00303F1C"/>
    <w:rsid w:val="0030665D"/>
    <w:rsid w:val="0030748B"/>
    <w:rsid w:val="00314A01"/>
    <w:rsid w:val="00315FD9"/>
    <w:rsid w:val="003167D9"/>
    <w:rsid w:val="00323D1E"/>
    <w:rsid w:val="00326265"/>
    <w:rsid w:val="00340555"/>
    <w:rsid w:val="003563BB"/>
    <w:rsid w:val="00362E76"/>
    <w:rsid w:val="00363A1D"/>
    <w:rsid w:val="00364239"/>
    <w:rsid w:val="00365A20"/>
    <w:rsid w:val="00365F82"/>
    <w:rsid w:val="00366197"/>
    <w:rsid w:val="00366547"/>
    <w:rsid w:val="00382756"/>
    <w:rsid w:val="00385108"/>
    <w:rsid w:val="00393656"/>
    <w:rsid w:val="00396F5A"/>
    <w:rsid w:val="003A03AE"/>
    <w:rsid w:val="003A3808"/>
    <w:rsid w:val="003B05FC"/>
    <w:rsid w:val="003B1515"/>
    <w:rsid w:val="003B55E6"/>
    <w:rsid w:val="003B7A70"/>
    <w:rsid w:val="003C1B69"/>
    <w:rsid w:val="003C3079"/>
    <w:rsid w:val="003C4E4F"/>
    <w:rsid w:val="003D149A"/>
    <w:rsid w:val="003D5739"/>
    <w:rsid w:val="003D7452"/>
    <w:rsid w:val="003E20E8"/>
    <w:rsid w:val="003E2A83"/>
    <w:rsid w:val="003E3115"/>
    <w:rsid w:val="003E4496"/>
    <w:rsid w:val="003E6A2B"/>
    <w:rsid w:val="003E6C36"/>
    <w:rsid w:val="003F32D2"/>
    <w:rsid w:val="003F3B81"/>
    <w:rsid w:val="003F7463"/>
    <w:rsid w:val="00410A83"/>
    <w:rsid w:val="004155EF"/>
    <w:rsid w:val="00421A73"/>
    <w:rsid w:val="00423C2E"/>
    <w:rsid w:val="00425793"/>
    <w:rsid w:val="0042697B"/>
    <w:rsid w:val="00431E41"/>
    <w:rsid w:val="00436739"/>
    <w:rsid w:val="00436768"/>
    <w:rsid w:val="00443D2A"/>
    <w:rsid w:val="00443E3F"/>
    <w:rsid w:val="00446742"/>
    <w:rsid w:val="004504C4"/>
    <w:rsid w:val="004537CF"/>
    <w:rsid w:val="00457B81"/>
    <w:rsid w:val="00461B11"/>
    <w:rsid w:val="004626C8"/>
    <w:rsid w:val="00463581"/>
    <w:rsid w:val="004643C2"/>
    <w:rsid w:val="00466931"/>
    <w:rsid w:val="00472182"/>
    <w:rsid w:val="004752A1"/>
    <w:rsid w:val="00480656"/>
    <w:rsid w:val="00483A85"/>
    <w:rsid w:val="00485B84"/>
    <w:rsid w:val="004951DC"/>
    <w:rsid w:val="0049670B"/>
    <w:rsid w:val="004978FE"/>
    <w:rsid w:val="004A0309"/>
    <w:rsid w:val="004A73A5"/>
    <w:rsid w:val="004A771D"/>
    <w:rsid w:val="004B70CC"/>
    <w:rsid w:val="004B783F"/>
    <w:rsid w:val="004C2F76"/>
    <w:rsid w:val="004C366E"/>
    <w:rsid w:val="004D03C5"/>
    <w:rsid w:val="004D055C"/>
    <w:rsid w:val="004D2294"/>
    <w:rsid w:val="004D2BF1"/>
    <w:rsid w:val="004D411F"/>
    <w:rsid w:val="004F2017"/>
    <w:rsid w:val="00501B96"/>
    <w:rsid w:val="005024F2"/>
    <w:rsid w:val="00506AE4"/>
    <w:rsid w:val="00506E58"/>
    <w:rsid w:val="00506F4F"/>
    <w:rsid w:val="00513957"/>
    <w:rsid w:val="005200CA"/>
    <w:rsid w:val="00521ACF"/>
    <w:rsid w:val="00535483"/>
    <w:rsid w:val="00535A82"/>
    <w:rsid w:val="005511FA"/>
    <w:rsid w:val="00555E69"/>
    <w:rsid w:val="00557904"/>
    <w:rsid w:val="005637DB"/>
    <w:rsid w:val="005767C1"/>
    <w:rsid w:val="0057795D"/>
    <w:rsid w:val="005807D1"/>
    <w:rsid w:val="00584822"/>
    <w:rsid w:val="00587451"/>
    <w:rsid w:val="00592E35"/>
    <w:rsid w:val="005951A2"/>
    <w:rsid w:val="005976A5"/>
    <w:rsid w:val="005A4143"/>
    <w:rsid w:val="005A71EC"/>
    <w:rsid w:val="005A7E39"/>
    <w:rsid w:val="005B05AF"/>
    <w:rsid w:val="005B176B"/>
    <w:rsid w:val="005B3E53"/>
    <w:rsid w:val="005B56C9"/>
    <w:rsid w:val="005C6BD8"/>
    <w:rsid w:val="005D2E0E"/>
    <w:rsid w:val="005D39C5"/>
    <w:rsid w:val="005D765B"/>
    <w:rsid w:val="005D7A77"/>
    <w:rsid w:val="005E261B"/>
    <w:rsid w:val="005E42DF"/>
    <w:rsid w:val="005F068E"/>
    <w:rsid w:val="005F10E9"/>
    <w:rsid w:val="005F28C6"/>
    <w:rsid w:val="005F350C"/>
    <w:rsid w:val="005F5272"/>
    <w:rsid w:val="0060002C"/>
    <w:rsid w:val="00607FBA"/>
    <w:rsid w:val="00620678"/>
    <w:rsid w:val="00623BCF"/>
    <w:rsid w:val="006270EE"/>
    <w:rsid w:val="00631961"/>
    <w:rsid w:val="00633666"/>
    <w:rsid w:val="00634CAA"/>
    <w:rsid w:val="00644180"/>
    <w:rsid w:val="00644BCB"/>
    <w:rsid w:val="00652962"/>
    <w:rsid w:val="006615BD"/>
    <w:rsid w:val="00664435"/>
    <w:rsid w:val="0066666F"/>
    <w:rsid w:val="00667BF9"/>
    <w:rsid w:val="00667C0D"/>
    <w:rsid w:val="0067196E"/>
    <w:rsid w:val="00676E5B"/>
    <w:rsid w:val="00682A34"/>
    <w:rsid w:val="00687523"/>
    <w:rsid w:val="0069073D"/>
    <w:rsid w:val="006B22FF"/>
    <w:rsid w:val="006B3BC7"/>
    <w:rsid w:val="006D0085"/>
    <w:rsid w:val="006D3915"/>
    <w:rsid w:val="006D3EAA"/>
    <w:rsid w:val="006D563C"/>
    <w:rsid w:val="006D6170"/>
    <w:rsid w:val="006E172A"/>
    <w:rsid w:val="006E349A"/>
    <w:rsid w:val="006E395E"/>
    <w:rsid w:val="006F1710"/>
    <w:rsid w:val="006F458E"/>
    <w:rsid w:val="006F776A"/>
    <w:rsid w:val="007036C7"/>
    <w:rsid w:val="007037A4"/>
    <w:rsid w:val="00705D11"/>
    <w:rsid w:val="00713A85"/>
    <w:rsid w:val="00716590"/>
    <w:rsid w:val="00716D5B"/>
    <w:rsid w:val="0072123C"/>
    <w:rsid w:val="00725841"/>
    <w:rsid w:val="00726684"/>
    <w:rsid w:val="0072688E"/>
    <w:rsid w:val="00731242"/>
    <w:rsid w:val="0073149E"/>
    <w:rsid w:val="0075376B"/>
    <w:rsid w:val="007573D7"/>
    <w:rsid w:val="00760C08"/>
    <w:rsid w:val="00775FFA"/>
    <w:rsid w:val="00790EAE"/>
    <w:rsid w:val="0079789A"/>
    <w:rsid w:val="007A5F9B"/>
    <w:rsid w:val="007A678B"/>
    <w:rsid w:val="007B4631"/>
    <w:rsid w:val="007C1626"/>
    <w:rsid w:val="007D1F40"/>
    <w:rsid w:val="007D3450"/>
    <w:rsid w:val="007D4864"/>
    <w:rsid w:val="007E2248"/>
    <w:rsid w:val="007E77D9"/>
    <w:rsid w:val="007E7EA5"/>
    <w:rsid w:val="007F2790"/>
    <w:rsid w:val="00801AE1"/>
    <w:rsid w:val="00804205"/>
    <w:rsid w:val="00804FE8"/>
    <w:rsid w:val="00805E5E"/>
    <w:rsid w:val="008065AB"/>
    <w:rsid w:val="00806C73"/>
    <w:rsid w:val="00807080"/>
    <w:rsid w:val="008103DF"/>
    <w:rsid w:val="0081151A"/>
    <w:rsid w:val="008251F3"/>
    <w:rsid w:val="0082555C"/>
    <w:rsid w:val="0082559A"/>
    <w:rsid w:val="0083170F"/>
    <w:rsid w:val="008326FD"/>
    <w:rsid w:val="00833CFE"/>
    <w:rsid w:val="00835B32"/>
    <w:rsid w:val="008377EB"/>
    <w:rsid w:val="0084530A"/>
    <w:rsid w:val="00846B2E"/>
    <w:rsid w:val="00851180"/>
    <w:rsid w:val="0085433D"/>
    <w:rsid w:val="0085653C"/>
    <w:rsid w:val="008609E8"/>
    <w:rsid w:val="00861A8E"/>
    <w:rsid w:val="0087016E"/>
    <w:rsid w:val="00874878"/>
    <w:rsid w:val="00883DF3"/>
    <w:rsid w:val="008A5721"/>
    <w:rsid w:val="008A5CF9"/>
    <w:rsid w:val="008A78F9"/>
    <w:rsid w:val="008B0C27"/>
    <w:rsid w:val="008B4028"/>
    <w:rsid w:val="008B40A3"/>
    <w:rsid w:val="008B55C8"/>
    <w:rsid w:val="008C2B36"/>
    <w:rsid w:val="008C38EC"/>
    <w:rsid w:val="008C3A0E"/>
    <w:rsid w:val="008C7E5E"/>
    <w:rsid w:val="008D3BFB"/>
    <w:rsid w:val="008D645E"/>
    <w:rsid w:val="008E059D"/>
    <w:rsid w:val="008E1DF2"/>
    <w:rsid w:val="008E2687"/>
    <w:rsid w:val="008E3852"/>
    <w:rsid w:val="008F01BA"/>
    <w:rsid w:val="008F01DA"/>
    <w:rsid w:val="008F4A02"/>
    <w:rsid w:val="00904560"/>
    <w:rsid w:val="00911C2F"/>
    <w:rsid w:val="0091337F"/>
    <w:rsid w:val="009137C5"/>
    <w:rsid w:val="0091454E"/>
    <w:rsid w:val="009173CC"/>
    <w:rsid w:val="009219A2"/>
    <w:rsid w:val="009228F9"/>
    <w:rsid w:val="00926174"/>
    <w:rsid w:val="00926A38"/>
    <w:rsid w:val="00932F11"/>
    <w:rsid w:val="0093361D"/>
    <w:rsid w:val="00936BF5"/>
    <w:rsid w:val="00937450"/>
    <w:rsid w:val="009409CD"/>
    <w:rsid w:val="009422C5"/>
    <w:rsid w:val="00945466"/>
    <w:rsid w:val="00950726"/>
    <w:rsid w:val="00953BA7"/>
    <w:rsid w:val="00960935"/>
    <w:rsid w:val="009633CC"/>
    <w:rsid w:val="00963444"/>
    <w:rsid w:val="00965227"/>
    <w:rsid w:val="00966A01"/>
    <w:rsid w:val="009767AC"/>
    <w:rsid w:val="00981C9B"/>
    <w:rsid w:val="009842A4"/>
    <w:rsid w:val="00987115"/>
    <w:rsid w:val="00992381"/>
    <w:rsid w:val="00992A1E"/>
    <w:rsid w:val="00992E7E"/>
    <w:rsid w:val="009949E0"/>
    <w:rsid w:val="009A07C7"/>
    <w:rsid w:val="009A5D7F"/>
    <w:rsid w:val="009B1718"/>
    <w:rsid w:val="009C3BD3"/>
    <w:rsid w:val="009D4BD0"/>
    <w:rsid w:val="009E1FC9"/>
    <w:rsid w:val="009F020E"/>
    <w:rsid w:val="009F0E90"/>
    <w:rsid w:val="009F1415"/>
    <w:rsid w:val="009F79D2"/>
    <w:rsid w:val="00A00E8A"/>
    <w:rsid w:val="00A02239"/>
    <w:rsid w:val="00A03512"/>
    <w:rsid w:val="00A03CD4"/>
    <w:rsid w:val="00A04E53"/>
    <w:rsid w:val="00A060DC"/>
    <w:rsid w:val="00A11FAD"/>
    <w:rsid w:val="00A123BD"/>
    <w:rsid w:val="00A13BB2"/>
    <w:rsid w:val="00A152F8"/>
    <w:rsid w:val="00A24857"/>
    <w:rsid w:val="00A261F0"/>
    <w:rsid w:val="00A27B6C"/>
    <w:rsid w:val="00A30D34"/>
    <w:rsid w:val="00A31C27"/>
    <w:rsid w:val="00A43458"/>
    <w:rsid w:val="00A45869"/>
    <w:rsid w:val="00A52B3A"/>
    <w:rsid w:val="00A538A0"/>
    <w:rsid w:val="00A57958"/>
    <w:rsid w:val="00A63428"/>
    <w:rsid w:val="00A670A5"/>
    <w:rsid w:val="00A67AC6"/>
    <w:rsid w:val="00A736ED"/>
    <w:rsid w:val="00A75484"/>
    <w:rsid w:val="00A7744D"/>
    <w:rsid w:val="00A91C06"/>
    <w:rsid w:val="00A94DFD"/>
    <w:rsid w:val="00A96F4B"/>
    <w:rsid w:val="00AB1A50"/>
    <w:rsid w:val="00AB29E0"/>
    <w:rsid w:val="00AB6885"/>
    <w:rsid w:val="00AB6B34"/>
    <w:rsid w:val="00AB73CB"/>
    <w:rsid w:val="00AC3A2B"/>
    <w:rsid w:val="00AC7892"/>
    <w:rsid w:val="00AD26E3"/>
    <w:rsid w:val="00AD6D72"/>
    <w:rsid w:val="00AD72E4"/>
    <w:rsid w:val="00AE31DF"/>
    <w:rsid w:val="00AF11FE"/>
    <w:rsid w:val="00AF20A0"/>
    <w:rsid w:val="00AF3DDD"/>
    <w:rsid w:val="00B006B2"/>
    <w:rsid w:val="00B072A9"/>
    <w:rsid w:val="00B12733"/>
    <w:rsid w:val="00B12860"/>
    <w:rsid w:val="00B14BA5"/>
    <w:rsid w:val="00B22151"/>
    <w:rsid w:val="00B23237"/>
    <w:rsid w:val="00B252A4"/>
    <w:rsid w:val="00B27519"/>
    <w:rsid w:val="00B44791"/>
    <w:rsid w:val="00B44AAA"/>
    <w:rsid w:val="00B4677E"/>
    <w:rsid w:val="00B473C0"/>
    <w:rsid w:val="00B54EDF"/>
    <w:rsid w:val="00B61AC1"/>
    <w:rsid w:val="00B63F48"/>
    <w:rsid w:val="00B66C82"/>
    <w:rsid w:val="00B713EC"/>
    <w:rsid w:val="00B739D7"/>
    <w:rsid w:val="00B73E74"/>
    <w:rsid w:val="00B7690E"/>
    <w:rsid w:val="00B80679"/>
    <w:rsid w:val="00B82609"/>
    <w:rsid w:val="00B8368E"/>
    <w:rsid w:val="00B863CF"/>
    <w:rsid w:val="00B91AC0"/>
    <w:rsid w:val="00B91E4C"/>
    <w:rsid w:val="00B939CA"/>
    <w:rsid w:val="00B93AC6"/>
    <w:rsid w:val="00BA2101"/>
    <w:rsid w:val="00BA2D74"/>
    <w:rsid w:val="00BA76FA"/>
    <w:rsid w:val="00BB1066"/>
    <w:rsid w:val="00BB6E9A"/>
    <w:rsid w:val="00BB7A6D"/>
    <w:rsid w:val="00BC2C4B"/>
    <w:rsid w:val="00BD2665"/>
    <w:rsid w:val="00BD58EC"/>
    <w:rsid w:val="00BD6778"/>
    <w:rsid w:val="00BE3D36"/>
    <w:rsid w:val="00BE5B05"/>
    <w:rsid w:val="00BE72BF"/>
    <w:rsid w:val="00BF3C41"/>
    <w:rsid w:val="00BF5442"/>
    <w:rsid w:val="00BF598D"/>
    <w:rsid w:val="00BF5E74"/>
    <w:rsid w:val="00BF6BD1"/>
    <w:rsid w:val="00BF76C6"/>
    <w:rsid w:val="00C05B60"/>
    <w:rsid w:val="00C15CFB"/>
    <w:rsid w:val="00C1719E"/>
    <w:rsid w:val="00C213B4"/>
    <w:rsid w:val="00C22719"/>
    <w:rsid w:val="00C25000"/>
    <w:rsid w:val="00C30F6F"/>
    <w:rsid w:val="00C31775"/>
    <w:rsid w:val="00C341EF"/>
    <w:rsid w:val="00C43D0B"/>
    <w:rsid w:val="00C61B76"/>
    <w:rsid w:val="00C64E6F"/>
    <w:rsid w:val="00C65D96"/>
    <w:rsid w:val="00C70565"/>
    <w:rsid w:val="00C71CF4"/>
    <w:rsid w:val="00C77FB5"/>
    <w:rsid w:val="00C80046"/>
    <w:rsid w:val="00C8239A"/>
    <w:rsid w:val="00C8613F"/>
    <w:rsid w:val="00C912D3"/>
    <w:rsid w:val="00C931AA"/>
    <w:rsid w:val="00C96F6A"/>
    <w:rsid w:val="00CA3E27"/>
    <w:rsid w:val="00CB07CE"/>
    <w:rsid w:val="00CB0951"/>
    <w:rsid w:val="00CB67C9"/>
    <w:rsid w:val="00CC0405"/>
    <w:rsid w:val="00CC151E"/>
    <w:rsid w:val="00CC392E"/>
    <w:rsid w:val="00CC5D5D"/>
    <w:rsid w:val="00CE14E2"/>
    <w:rsid w:val="00CE492A"/>
    <w:rsid w:val="00CE5B6E"/>
    <w:rsid w:val="00CF0E3F"/>
    <w:rsid w:val="00CF3118"/>
    <w:rsid w:val="00CF4BB6"/>
    <w:rsid w:val="00CF5056"/>
    <w:rsid w:val="00CF58E5"/>
    <w:rsid w:val="00CF7ED2"/>
    <w:rsid w:val="00D05182"/>
    <w:rsid w:val="00D0520F"/>
    <w:rsid w:val="00D10F16"/>
    <w:rsid w:val="00D160A0"/>
    <w:rsid w:val="00D17CC8"/>
    <w:rsid w:val="00D17EDF"/>
    <w:rsid w:val="00D2042C"/>
    <w:rsid w:val="00D23145"/>
    <w:rsid w:val="00D2783D"/>
    <w:rsid w:val="00D3400D"/>
    <w:rsid w:val="00D370D6"/>
    <w:rsid w:val="00D50A4B"/>
    <w:rsid w:val="00D524FA"/>
    <w:rsid w:val="00D568DC"/>
    <w:rsid w:val="00D56C7E"/>
    <w:rsid w:val="00D631B8"/>
    <w:rsid w:val="00D670F0"/>
    <w:rsid w:val="00D72734"/>
    <w:rsid w:val="00D802BC"/>
    <w:rsid w:val="00D9046B"/>
    <w:rsid w:val="00D96603"/>
    <w:rsid w:val="00DB0F5B"/>
    <w:rsid w:val="00DB1478"/>
    <w:rsid w:val="00DB195D"/>
    <w:rsid w:val="00DB3B0A"/>
    <w:rsid w:val="00DB52CE"/>
    <w:rsid w:val="00DC5682"/>
    <w:rsid w:val="00DC6E7E"/>
    <w:rsid w:val="00DC79D6"/>
    <w:rsid w:val="00DD2F8A"/>
    <w:rsid w:val="00DD4BA7"/>
    <w:rsid w:val="00E04028"/>
    <w:rsid w:val="00E04C83"/>
    <w:rsid w:val="00E167E6"/>
    <w:rsid w:val="00E2534F"/>
    <w:rsid w:val="00E25C82"/>
    <w:rsid w:val="00E25EC5"/>
    <w:rsid w:val="00E27DCF"/>
    <w:rsid w:val="00E345CA"/>
    <w:rsid w:val="00E361EC"/>
    <w:rsid w:val="00E363E5"/>
    <w:rsid w:val="00E36BB4"/>
    <w:rsid w:val="00E40C03"/>
    <w:rsid w:val="00E422FF"/>
    <w:rsid w:val="00E43160"/>
    <w:rsid w:val="00E474E1"/>
    <w:rsid w:val="00E47C14"/>
    <w:rsid w:val="00E51E44"/>
    <w:rsid w:val="00E57D28"/>
    <w:rsid w:val="00E64EAF"/>
    <w:rsid w:val="00E719C0"/>
    <w:rsid w:val="00E72866"/>
    <w:rsid w:val="00E72F0C"/>
    <w:rsid w:val="00E77611"/>
    <w:rsid w:val="00E77BA7"/>
    <w:rsid w:val="00E82B6D"/>
    <w:rsid w:val="00E8435B"/>
    <w:rsid w:val="00E86075"/>
    <w:rsid w:val="00E87708"/>
    <w:rsid w:val="00E90CFC"/>
    <w:rsid w:val="00E91C02"/>
    <w:rsid w:val="00EA0266"/>
    <w:rsid w:val="00EA0A80"/>
    <w:rsid w:val="00EB098F"/>
    <w:rsid w:val="00EB42FE"/>
    <w:rsid w:val="00EB673D"/>
    <w:rsid w:val="00EB7B9C"/>
    <w:rsid w:val="00EC182B"/>
    <w:rsid w:val="00ED371C"/>
    <w:rsid w:val="00ED6DF5"/>
    <w:rsid w:val="00ED739E"/>
    <w:rsid w:val="00EE1180"/>
    <w:rsid w:val="00EE4119"/>
    <w:rsid w:val="00EF0074"/>
    <w:rsid w:val="00EF119D"/>
    <w:rsid w:val="00EF4BEB"/>
    <w:rsid w:val="00EF60A2"/>
    <w:rsid w:val="00EF6BA7"/>
    <w:rsid w:val="00EF7601"/>
    <w:rsid w:val="00F01819"/>
    <w:rsid w:val="00F02B97"/>
    <w:rsid w:val="00F03F5E"/>
    <w:rsid w:val="00F0400B"/>
    <w:rsid w:val="00F06888"/>
    <w:rsid w:val="00F1352F"/>
    <w:rsid w:val="00F14C98"/>
    <w:rsid w:val="00F14D6F"/>
    <w:rsid w:val="00F16FE0"/>
    <w:rsid w:val="00F310B7"/>
    <w:rsid w:val="00F3512E"/>
    <w:rsid w:val="00F3648F"/>
    <w:rsid w:val="00F40246"/>
    <w:rsid w:val="00F40284"/>
    <w:rsid w:val="00F42104"/>
    <w:rsid w:val="00F42CAF"/>
    <w:rsid w:val="00F43DC0"/>
    <w:rsid w:val="00F442D5"/>
    <w:rsid w:val="00F44EBE"/>
    <w:rsid w:val="00F509EB"/>
    <w:rsid w:val="00F51ECE"/>
    <w:rsid w:val="00F5762A"/>
    <w:rsid w:val="00F57B48"/>
    <w:rsid w:val="00F608BF"/>
    <w:rsid w:val="00F61383"/>
    <w:rsid w:val="00F72194"/>
    <w:rsid w:val="00F739C8"/>
    <w:rsid w:val="00F74485"/>
    <w:rsid w:val="00F7458B"/>
    <w:rsid w:val="00F755DA"/>
    <w:rsid w:val="00F80FD4"/>
    <w:rsid w:val="00F87BF7"/>
    <w:rsid w:val="00F969F8"/>
    <w:rsid w:val="00FA0C16"/>
    <w:rsid w:val="00FA3A5E"/>
    <w:rsid w:val="00FA699F"/>
    <w:rsid w:val="00FB2037"/>
    <w:rsid w:val="00FB34AB"/>
    <w:rsid w:val="00FC58AF"/>
    <w:rsid w:val="00FC635C"/>
    <w:rsid w:val="00FD152B"/>
    <w:rsid w:val="00FD2532"/>
    <w:rsid w:val="00FD3014"/>
    <w:rsid w:val="00FD376E"/>
    <w:rsid w:val="00FD7792"/>
    <w:rsid w:val="00FE22C6"/>
    <w:rsid w:val="00FE242D"/>
    <w:rsid w:val="00FE7C39"/>
    <w:rsid w:val="00FF3045"/>
    <w:rsid w:val="00FF3452"/>
    <w:rsid w:val="00FF479C"/>
    <w:rsid w:val="00FF60FF"/>
    <w:rsid w:val="00FF7146"/>
    <w:rsid w:val="0492756D"/>
    <w:rsid w:val="0712D577"/>
    <w:rsid w:val="17FD9365"/>
    <w:rsid w:val="1B50D151"/>
    <w:rsid w:val="21C714C5"/>
    <w:rsid w:val="425E9D33"/>
    <w:rsid w:val="47E3FF81"/>
    <w:rsid w:val="4BF7DC31"/>
    <w:rsid w:val="4FC99207"/>
    <w:rsid w:val="7ADCDC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A399C"/>
  <w15:chartTrackingRefBased/>
  <w15:docId w15:val="{31961DF7-C21D-4EED-9F1C-52AECBB4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485"/>
    <w:pPr>
      <w:widowControl w:val="0"/>
      <w:autoSpaceDE w:val="0"/>
      <w:autoSpaceDN w:val="0"/>
      <w:spacing w:after="0" w:line="240" w:lineRule="auto"/>
    </w:pPr>
    <w:rPr>
      <w:rFonts w:ascii="Arial" w:eastAsia="Arial" w:hAnsi="Arial" w:cs="Arial"/>
      <w:kern w:val="0"/>
      <w14:ligatures w14:val="none"/>
    </w:rPr>
  </w:style>
  <w:style w:type="paragraph" w:styleId="Heading1">
    <w:name w:val="heading 1"/>
    <w:basedOn w:val="Normal"/>
    <w:link w:val="Heading1Char"/>
    <w:uiPriority w:val="9"/>
    <w:qFormat/>
    <w:rsid w:val="00F74485"/>
    <w:pPr>
      <w:ind w:left="140"/>
      <w:outlineLvl w:val="0"/>
    </w:pPr>
    <w:rPr>
      <w:b/>
      <w:bCs/>
      <w:sz w:val="24"/>
      <w:szCs w:val="24"/>
    </w:rPr>
  </w:style>
  <w:style w:type="paragraph" w:styleId="Heading2">
    <w:name w:val="heading 2"/>
    <w:basedOn w:val="Normal"/>
    <w:link w:val="Heading2Char"/>
    <w:uiPriority w:val="9"/>
    <w:unhideWhenUsed/>
    <w:qFormat/>
    <w:rsid w:val="00F74485"/>
    <w:pPr>
      <w:ind w:left="140"/>
      <w:outlineLvl w:val="1"/>
    </w:pPr>
    <w:rPr>
      <w:b/>
      <w:bCs/>
      <w:sz w:val="24"/>
      <w:szCs w:val="24"/>
    </w:rPr>
  </w:style>
  <w:style w:type="paragraph" w:styleId="Heading3">
    <w:name w:val="heading 3"/>
    <w:basedOn w:val="Normal"/>
    <w:next w:val="Normal"/>
    <w:link w:val="Heading3Char"/>
    <w:uiPriority w:val="9"/>
    <w:semiHidden/>
    <w:unhideWhenUsed/>
    <w:qFormat/>
    <w:rsid w:val="00B66C8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485"/>
    <w:rPr>
      <w:rFonts w:ascii="Arial" w:eastAsia="Arial" w:hAnsi="Arial" w:cs="Arial"/>
      <w:b/>
      <w:bCs/>
      <w:kern w:val="0"/>
      <w:sz w:val="24"/>
      <w:szCs w:val="24"/>
      <w14:ligatures w14:val="none"/>
    </w:rPr>
  </w:style>
  <w:style w:type="character" w:customStyle="1" w:styleId="Heading2Char">
    <w:name w:val="Heading 2 Char"/>
    <w:basedOn w:val="DefaultParagraphFont"/>
    <w:link w:val="Heading2"/>
    <w:uiPriority w:val="9"/>
    <w:rsid w:val="00F74485"/>
    <w:rPr>
      <w:rFonts w:ascii="Arial" w:eastAsia="Arial" w:hAnsi="Arial" w:cs="Arial"/>
      <w:b/>
      <w:bCs/>
      <w:kern w:val="0"/>
      <w:sz w:val="24"/>
      <w:szCs w:val="24"/>
      <w14:ligatures w14:val="none"/>
    </w:rPr>
  </w:style>
  <w:style w:type="paragraph" w:styleId="BodyText">
    <w:name w:val="Body Text"/>
    <w:basedOn w:val="Normal"/>
    <w:link w:val="BodyTextChar"/>
    <w:uiPriority w:val="1"/>
    <w:qFormat/>
    <w:rsid w:val="00FA0C16"/>
    <w:pPr>
      <w:spacing w:before="140" w:line="360" w:lineRule="auto"/>
      <w:ind w:right="522"/>
    </w:pPr>
    <w:rPr>
      <w:sz w:val="24"/>
      <w:szCs w:val="24"/>
    </w:rPr>
  </w:style>
  <w:style w:type="character" w:customStyle="1" w:styleId="BodyTextChar">
    <w:name w:val="Body Text Char"/>
    <w:basedOn w:val="DefaultParagraphFont"/>
    <w:link w:val="BodyText"/>
    <w:uiPriority w:val="1"/>
    <w:rsid w:val="00FA0C16"/>
    <w:rPr>
      <w:rFonts w:ascii="Arial" w:eastAsia="Arial" w:hAnsi="Arial" w:cs="Arial"/>
      <w:kern w:val="0"/>
      <w:sz w:val="24"/>
      <w:szCs w:val="24"/>
      <w14:ligatures w14:val="none"/>
    </w:rPr>
  </w:style>
  <w:style w:type="paragraph" w:styleId="Title">
    <w:name w:val="Title"/>
    <w:basedOn w:val="Normal"/>
    <w:link w:val="TitleChar"/>
    <w:uiPriority w:val="10"/>
    <w:qFormat/>
    <w:rsid w:val="00F74485"/>
    <w:pPr>
      <w:spacing w:before="83"/>
      <w:ind w:left="140"/>
    </w:pPr>
    <w:rPr>
      <w:b/>
      <w:bCs/>
      <w:sz w:val="32"/>
      <w:szCs w:val="32"/>
    </w:rPr>
  </w:style>
  <w:style w:type="character" w:customStyle="1" w:styleId="TitleChar">
    <w:name w:val="Title Char"/>
    <w:basedOn w:val="DefaultParagraphFont"/>
    <w:link w:val="Title"/>
    <w:uiPriority w:val="10"/>
    <w:rsid w:val="00F74485"/>
    <w:rPr>
      <w:rFonts w:ascii="Arial" w:eastAsia="Arial" w:hAnsi="Arial" w:cs="Arial"/>
      <w:b/>
      <w:bCs/>
      <w:kern w:val="0"/>
      <w:sz w:val="32"/>
      <w:szCs w:val="32"/>
      <w14:ligatures w14:val="none"/>
    </w:rPr>
  </w:style>
  <w:style w:type="paragraph" w:customStyle="1" w:styleId="TableParagraph">
    <w:name w:val="Table Paragraph"/>
    <w:basedOn w:val="Normal"/>
    <w:uiPriority w:val="1"/>
    <w:qFormat/>
    <w:rsid w:val="00F74485"/>
    <w:pPr>
      <w:spacing w:before="122"/>
      <w:ind w:left="114"/>
    </w:pPr>
  </w:style>
  <w:style w:type="paragraph" w:styleId="Header">
    <w:name w:val="header"/>
    <w:basedOn w:val="Normal"/>
    <w:link w:val="HeaderChar"/>
    <w:uiPriority w:val="99"/>
    <w:unhideWhenUsed/>
    <w:rsid w:val="00AC3A2B"/>
    <w:pPr>
      <w:tabs>
        <w:tab w:val="center" w:pos="4513"/>
        <w:tab w:val="right" w:pos="9026"/>
      </w:tabs>
    </w:pPr>
  </w:style>
  <w:style w:type="character" w:customStyle="1" w:styleId="HeaderChar">
    <w:name w:val="Header Char"/>
    <w:basedOn w:val="DefaultParagraphFont"/>
    <w:link w:val="Header"/>
    <w:uiPriority w:val="99"/>
    <w:rsid w:val="00AC3A2B"/>
    <w:rPr>
      <w:rFonts w:ascii="Arial" w:eastAsia="Arial" w:hAnsi="Arial" w:cs="Arial"/>
      <w:kern w:val="0"/>
      <w14:ligatures w14:val="none"/>
    </w:rPr>
  </w:style>
  <w:style w:type="paragraph" w:styleId="Footer">
    <w:name w:val="footer"/>
    <w:basedOn w:val="Normal"/>
    <w:link w:val="FooterChar"/>
    <w:uiPriority w:val="99"/>
    <w:unhideWhenUsed/>
    <w:rsid w:val="00AC3A2B"/>
    <w:pPr>
      <w:tabs>
        <w:tab w:val="center" w:pos="4513"/>
        <w:tab w:val="right" w:pos="9026"/>
      </w:tabs>
    </w:pPr>
  </w:style>
  <w:style w:type="character" w:customStyle="1" w:styleId="FooterChar">
    <w:name w:val="Footer Char"/>
    <w:basedOn w:val="DefaultParagraphFont"/>
    <w:link w:val="Footer"/>
    <w:uiPriority w:val="99"/>
    <w:rsid w:val="00AC3A2B"/>
    <w:rPr>
      <w:rFonts w:ascii="Arial" w:eastAsia="Arial" w:hAnsi="Arial" w:cs="Arial"/>
      <w:kern w:val="0"/>
      <w14:ligatures w14:val="none"/>
    </w:rPr>
  </w:style>
  <w:style w:type="paragraph" w:customStyle="1" w:styleId="Customisabledocumentheading">
    <w:name w:val="Customisable document heading"/>
    <w:basedOn w:val="Normal"/>
    <w:next w:val="Normal"/>
    <w:uiPriority w:val="99"/>
    <w:rsid w:val="00FC635C"/>
    <w:pPr>
      <w:widowControl/>
      <w:autoSpaceDE/>
      <w:autoSpaceDN/>
    </w:pPr>
    <w:rPr>
      <w:rFonts w:eastAsia="Times New Roman"/>
      <w:b/>
      <w:bCs/>
    </w:rPr>
  </w:style>
  <w:style w:type="paragraph" w:customStyle="1" w:styleId="PolicyHeading">
    <w:name w:val="Policy Heading"/>
    <w:basedOn w:val="Heading1"/>
    <w:link w:val="PolicyHeadingChar"/>
    <w:qFormat/>
    <w:rsid w:val="00C1719E"/>
    <w:rPr>
      <w:rFonts w:ascii="Trebuchet MS" w:hAnsi="Trebuchet MS"/>
    </w:rPr>
  </w:style>
  <w:style w:type="character" w:customStyle="1" w:styleId="PolicyHeadingChar">
    <w:name w:val="Policy Heading Char"/>
    <w:basedOn w:val="Heading1Char"/>
    <w:link w:val="PolicyHeading"/>
    <w:rsid w:val="00C1719E"/>
    <w:rPr>
      <w:rFonts w:ascii="Trebuchet MS" w:eastAsia="Arial" w:hAnsi="Trebuchet MS" w:cs="Arial"/>
      <w:b/>
      <w:bCs/>
      <w:kern w:val="0"/>
      <w:sz w:val="24"/>
      <w:szCs w:val="24"/>
      <w14:ligatures w14:val="none"/>
    </w:rPr>
  </w:style>
  <w:style w:type="paragraph" w:styleId="TOCHeading">
    <w:name w:val="TOC Heading"/>
    <w:basedOn w:val="Heading1"/>
    <w:next w:val="Normal"/>
    <w:uiPriority w:val="39"/>
    <w:unhideWhenUsed/>
    <w:qFormat/>
    <w:rsid w:val="00365A2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365A20"/>
    <w:pPr>
      <w:spacing w:after="100"/>
    </w:pPr>
    <w:rPr>
      <w:rFonts w:ascii="Trebuchet MS" w:hAnsi="Trebuchet MS"/>
      <w:sz w:val="24"/>
    </w:rPr>
  </w:style>
  <w:style w:type="character" w:styleId="Hyperlink">
    <w:name w:val="Hyperlink"/>
    <w:basedOn w:val="DefaultParagraphFont"/>
    <w:uiPriority w:val="99"/>
    <w:unhideWhenUsed/>
    <w:rsid w:val="00365A20"/>
    <w:rPr>
      <w:color w:val="0563C1" w:themeColor="hyperlink"/>
      <w:u w:val="single"/>
    </w:rPr>
  </w:style>
  <w:style w:type="table" w:styleId="TableGrid">
    <w:name w:val="Table Grid"/>
    <w:basedOn w:val="TableNormal"/>
    <w:uiPriority w:val="59"/>
    <w:rsid w:val="008B4028"/>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E04C83"/>
    <w:pPr>
      <w:spacing w:after="100"/>
      <w:ind w:left="220"/>
    </w:pPr>
  </w:style>
  <w:style w:type="paragraph" w:styleId="Revision">
    <w:name w:val="Revision"/>
    <w:hidden/>
    <w:uiPriority w:val="99"/>
    <w:semiHidden/>
    <w:rsid w:val="00FF3452"/>
    <w:pPr>
      <w:spacing w:after="0" w:line="240" w:lineRule="auto"/>
    </w:pPr>
    <w:rPr>
      <w:rFonts w:ascii="Arial" w:eastAsia="Arial" w:hAnsi="Arial" w:cs="Arial"/>
      <w:kern w:val="0"/>
      <w14:ligatures w14:val="none"/>
    </w:rPr>
  </w:style>
  <w:style w:type="paragraph" w:styleId="CommentText">
    <w:name w:val="annotation text"/>
    <w:basedOn w:val="Normal"/>
    <w:link w:val="CommentTextChar"/>
    <w:uiPriority w:val="99"/>
    <w:unhideWhenUsed/>
    <w:rsid w:val="00BB6E9A"/>
    <w:rPr>
      <w:sz w:val="20"/>
      <w:szCs w:val="20"/>
    </w:rPr>
  </w:style>
  <w:style w:type="character" w:customStyle="1" w:styleId="CommentTextChar">
    <w:name w:val="Comment Text Char"/>
    <w:basedOn w:val="DefaultParagraphFont"/>
    <w:link w:val="CommentText"/>
    <w:uiPriority w:val="99"/>
    <w:rsid w:val="00BB6E9A"/>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BB6E9A"/>
    <w:rPr>
      <w:sz w:val="16"/>
      <w:szCs w:val="16"/>
    </w:rPr>
  </w:style>
  <w:style w:type="paragraph" w:styleId="CommentSubject">
    <w:name w:val="annotation subject"/>
    <w:basedOn w:val="CommentText"/>
    <w:next w:val="CommentText"/>
    <w:link w:val="CommentSubjectChar"/>
    <w:uiPriority w:val="99"/>
    <w:semiHidden/>
    <w:unhideWhenUsed/>
    <w:rsid w:val="006D3915"/>
    <w:rPr>
      <w:b/>
      <w:bCs/>
    </w:rPr>
  </w:style>
  <w:style w:type="character" w:customStyle="1" w:styleId="CommentSubjectChar">
    <w:name w:val="Comment Subject Char"/>
    <w:basedOn w:val="CommentTextChar"/>
    <w:link w:val="CommentSubject"/>
    <w:uiPriority w:val="99"/>
    <w:semiHidden/>
    <w:rsid w:val="006D3915"/>
    <w:rPr>
      <w:rFonts w:ascii="Arial" w:eastAsia="Arial" w:hAnsi="Arial" w:cs="Arial"/>
      <w:b/>
      <w:bCs/>
      <w:kern w:val="0"/>
      <w:sz w:val="20"/>
      <w:szCs w:val="20"/>
      <w14:ligatures w14:val="none"/>
    </w:rPr>
  </w:style>
  <w:style w:type="paragraph" w:styleId="ListParagraph">
    <w:name w:val="List Paragraph"/>
    <w:basedOn w:val="Normal"/>
    <w:uiPriority w:val="34"/>
    <w:qFormat/>
    <w:rsid w:val="00B12860"/>
    <w:pPr>
      <w:ind w:left="720"/>
      <w:contextualSpacing/>
    </w:pPr>
  </w:style>
  <w:style w:type="character" w:customStyle="1" w:styleId="normaltextrun">
    <w:name w:val="normaltextrun"/>
    <w:basedOn w:val="DefaultParagraphFont"/>
    <w:rsid w:val="00A736ED"/>
  </w:style>
  <w:style w:type="paragraph" w:customStyle="1" w:styleId="1bodycopy10pt">
    <w:name w:val="1 body copy 10pt"/>
    <w:basedOn w:val="Normal"/>
    <w:link w:val="1bodycopy10ptChar"/>
    <w:qFormat/>
    <w:rsid w:val="00B66C82"/>
    <w:pPr>
      <w:widowControl/>
      <w:autoSpaceDE/>
      <w:autoSpaceDN/>
      <w:spacing w:after="120"/>
    </w:pPr>
    <w:rPr>
      <w:rFonts w:eastAsia="MS Mincho" w:cs="Times New Roman"/>
      <w:sz w:val="20"/>
      <w:szCs w:val="24"/>
      <w:lang w:val="en-US"/>
    </w:rPr>
  </w:style>
  <w:style w:type="character" w:customStyle="1" w:styleId="1bodycopy10ptChar">
    <w:name w:val="1 body copy 10pt Char"/>
    <w:link w:val="1bodycopy10pt"/>
    <w:rsid w:val="00B66C82"/>
    <w:rPr>
      <w:rFonts w:ascii="Arial" w:eastAsia="MS Mincho" w:hAnsi="Arial" w:cs="Times New Roman"/>
      <w:kern w:val="0"/>
      <w:sz w:val="20"/>
      <w:szCs w:val="24"/>
      <w:lang w:val="en-US"/>
      <w14:ligatures w14:val="none"/>
    </w:rPr>
  </w:style>
  <w:style w:type="paragraph" w:customStyle="1" w:styleId="4Bulletedcopyblue">
    <w:name w:val="4 Bulleted copy blue"/>
    <w:basedOn w:val="Normal"/>
    <w:qFormat/>
    <w:rsid w:val="00B66C82"/>
    <w:pPr>
      <w:widowControl/>
      <w:numPr>
        <w:numId w:val="1"/>
      </w:numPr>
      <w:autoSpaceDE/>
      <w:autoSpaceDN/>
      <w:spacing w:after="120"/>
    </w:pPr>
    <w:rPr>
      <w:rFonts w:eastAsia="MS Mincho"/>
      <w:sz w:val="20"/>
      <w:szCs w:val="20"/>
      <w:lang w:val="en-US"/>
    </w:rPr>
  </w:style>
  <w:style w:type="paragraph" w:customStyle="1" w:styleId="Subhead2">
    <w:name w:val="Subhead 2"/>
    <w:basedOn w:val="1bodycopy10pt"/>
    <w:next w:val="1bodycopy10pt"/>
    <w:link w:val="Subhead2Char"/>
    <w:qFormat/>
    <w:rsid w:val="00B66C82"/>
    <w:pPr>
      <w:spacing w:before="240"/>
    </w:pPr>
    <w:rPr>
      <w:b/>
      <w:color w:val="12263F"/>
      <w:sz w:val="24"/>
    </w:rPr>
  </w:style>
  <w:style w:type="character" w:customStyle="1" w:styleId="Subhead2Char">
    <w:name w:val="Subhead 2 Char"/>
    <w:link w:val="Subhead2"/>
    <w:rsid w:val="00B66C82"/>
    <w:rPr>
      <w:rFonts w:ascii="Arial" w:eastAsia="MS Mincho" w:hAnsi="Arial" w:cs="Times New Roman"/>
      <w:b/>
      <w:color w:val="12263F"/>
      <w:kern w:val="0"/>
      <w:sz w:val="24"/>
      <w:szCs w:val="24"/>
      <w:lang w:val="en-US"/>
      <w14:ligatures w14:val="none"/>
    </w:rPr>
  </w:style>
  <w:style w:type="character" w:customStyle="1" w:styleId="Heading3Char">
    <w:name w:val="Heading 3 Char"/>
    <w:basedOn w:val="DefaultParagraphFont"/>
    <w:link w:val="Heading3"/>
    <w:uiPriority w:val="9"/>
    <w:semiHidden/>
    <w:rsid w:val="00B66C82"/>
    <w:rPr>
      <w:rFonts w:asciiTheme="majorHAnsi" w:eastAsiaTheme="majorEastAsia" w:hAnsiTheme="majorHAnsi" w:cstheme="majorBidi"/>
      <w:color w:val="1F3763" w:themeColor="accent1" w:themeShade="7F"/>
      <w:kern w:val="0"/>
      <w:sz w:val="24"/>
      <w:szCs w:val="24"/>
      <w14:ligatures w14:val="none"/>
    </w:rPr>
  </w:style>
  <w:style w:type="character" w:styleId="Strong">
    <w:name w:val="Strong"/>
    <w:uiPriority w:val="22"/>
    <w:qFormat/>
    <w:rsid w:val="00B66C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560240">
      <w:bodyDiv w:val="1"/>
      <w:marLeft w:val="0"/>
      <w:marRight w:val="0"/>
      <w:marTop w:val="0"/>
      <w:marBottom w:val="0"/>
      <w:divBdr>
        <w:top w:val="none" w:sz="0" w:space="0" w:color="auto"/>
        <w:left w:val="none" w:sz="0" w:space="0" w:color="auto"/>
        <w:bottom w:val="none" w:sz="0" w:space="0" w:color="auto"/>
        <w:right w:val="none" w:sz="0" w:space="0" w:color="auto"/>
      </w:divBdr>
    </w:div>
    <w:div w:id="989602060">
      <w:bodyDiv w:val="1"/>
      <w:marLeft w:val="0"/>
      <w:marRight w:val="0"/>
      <w:marTop w:val="0"/>
      <w:marBottom w:val="0"/>
      <w:divBdr>
        <w:top w:val="none" w:sz="0" w:space="0" w:color="auto"/>
        <w:left w:val="none" w:sz="0" w:space="0" w:color="auto"/>
        <w:bottom w:val="none" w:sz="0" w:space="0" w:color="auto"/>
        <w:right w:val="none" w:sz="0" w:space="0" w:color="auto"/>
      </w:divBdr>
    </w:div>
    <w:div w:id="131880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7FCB89037FAC4C8C855C468840AC5A" ma:contentTypeVersion="11" ma:contentTypeDescription="Create a new document." ma:contentTypeScope="" ma:versionID="f9097fb962c9a9c27f515f3592bd1f53">
  <xsd:schema xmlns:xsd="http://www.w3.org/2001/XMLSchema" xmlns:xs="http://www.w3.org/2001/XMLSchema" xmlns:p="http://schemas.microsoft.com/office/2006/metadata/properties" xmlns:ns2="9f7d48b9-83ed-4f69-80d2-98ccbe438667" xmlns:ns3="d0c9f297-4643-4962-b0c5-57004a1d928c" targetNamespace="http://schemas.microsoft.com/office/2006/metadata/properties" ma:root="true" ma:fieldsID="b5c232cfbaa6db1840466e8739bae8de" ns2:_="" ns3:_="">
    <xsd:import namespace="9f7d48b9-83ed-4f69-80d2-98ccbe438667"/>
    <xsd:import namespace="d0c9f297-4643-4962-b0c5-57004a1d92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d48b9-83ed-4f69-80d2-98ccbe438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076fe0-6219-422e-bcee-8b4ebaac2ac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9f297-4643-4962-b0c5-57004a1d928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420d78b-53f7-432c-b8d3-ebcf582304d1}" ma:internalName="TaxCatchAll" ma:showField="CatchAllData" ma:web="d0c9f297-4643-4962-b0c5-57004a1d92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7d48b9-83ed-4f69-80d2-98ccbe438667">
      <Terms xmlns="http://schemas.microsoft.com/office/infopath/2007/PartnerControls"/>
    </lcf76f155ced4ddcb4097134ff3c332f>
    <TaxCatchAll xmlns="d0c9f297-4643-4962-b0c5-57004a1d928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263EA-C19D-409B-B1AB-B25AF0DE6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d48b9-83ed-4f69-80d2-98ccbe438667"/>
    <ds:schemaRef ds:uri="d0c9f297-4643-4962-b0c5-57004a1d92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046E95-DF11-42B6-87C3-43998578F008}">
  <ds:schemaRefs>
    <ds:schemaRef ds:uri="http://schemas.microsoft.com/sharepoint/v3/contenttype/forms"/>
  </ds:schemaRefs>
</ds:datastoreItem>
</file>

<file path=customXml/itemProps3.xml><?xml version="1.0" encoding="utf-8"?>
<ds:datastoreItem xmlns:ds="http://schemas.openxmlformats.org/officeDocument/2006/customXml" ds:itemID="{4C6DCC3D-B637-41AC-952B-064EA3840566}">
  <ds:schemaRefs>
    <ds:schemaRef ds:uri="http://schemas.microsoft.com/office/2006/metadata/properties"/>
    <ds:schemaRef ds:uri="http://schemas.microsoft.com/office/infopath/2007/PartnerControls"/>
    <ds:schemaRef ds:uri="9f7d48b9-83ed-4f69-80d2-98ccbe438667"/>
    <ds:schemaRef ds:uri="d0c9f297-4643-4962-b0c5-57004a1d928c"/>
  </ds:schemaRefs>
</ds:datastoreItem>
</file>

<file path=customXml/itemProps4.xml><?xml version="1.0" encoding="utf-8"?>
<ds:datastoreItem xmlns:ds="http://schemas.openxmlformats.org/officeDocument/2006/customXml" ds:itemID="{21A51B13-0229-47F2-8459-78C83BA0F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1189</Words>
  <Characters>6781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Risk Assessment Policy</vt:lpstr>
    </vt:vector>
  </TitlesOfParts>
  <Company>Petaurum HR</Company>
  <LinksUpToDate>false</LinksUpToDate>
  <CharactersWithSpaces>7955</CharactersWithSpaces>
  <SharedDoc>false</SharedDoc>
  <HLinks>
    <vt:vector size="66" baseType="variant">
      <vt:variant>
        <vt:i4>1769520</vt:i4>
      </vt:variant>
      <vt:variant>
        <vt:i4>62</vt:i4>
      </vt:variant>
      <vt:variant>
        <vt:i4>0</vt:i4>
      </vt:variant>
      <vt:variant>
        <vt:i4>5</vt:i4>
      </vt:variant>
      <vt:variant>
        <vt:lpwstr/>
      </vt:variant>
      <vt:variant>
        <vt:lpwstr>_Toc193465442</vt:lpwstr>
      </vt:variant>
      <vt:variant>
        <vt:i4>1769520</vt:i4>
      </vt:variant>
      <vt:variant>
        <vt:i4>56</vt:i4>
      </vt:variant>
      <vt:variant>
        <vt:i4>0</vt:i4>
      </vt:variant>
      <vt:variant>
        <vt:i4>5</vt:i4>
      </vt:variant>
      <vt:variant>
        <vt:lpwstr/>
      </vt:variant>
      <vt:variant>
        <vt:lpwstr>_Toc193465441</vt:lpwstr>
      </vt:variant>
      <vt:variant>
        <vt:i4>1769520</vt:i4>
      </vt:variant>
      <vt:variant>
        <vt:i4>50</vt:i4>
      </vt:variant>
      <vt:variant>
        <vt:i4>0</vt:i4>
      </vt:variant>
      <vt:variant>
        <vt:i4>5</vt:i4>
      </vt:variant>
      <vt:variant>
        <vt:lpwstr/>
      </vt:variant>
      <vt:variant>
        <vt:lpwstr>_Toc193465440</vt:lpwstr>
      </vt:variant>
      <vt:variant>
        <vt:i4>1835056</vt:i4>
      </vt:variant>
      <vt:variant>
        <vt:i4>44</vt:i4>
      </vt:variant>
      <vt:variant>
        <vt:i4>0</vt:i4>
      </vt:variant>
      <vt:variant>
        <vt:i4>5</vt:i4>
      </vt:variant>
      <vt:variant>
        <vt:lpwstr/>
      </vt:variant>
      <vt:variant>
        <vt:lpwstr>_Toc193465439</vt:lpwstr>
      </vt:variant>
      <vt:variant>
        <vt:i4>1835056</vt:i4>
      </vt:variant>
      <vt:variant>
        <vt:i4>38</vt:i4>
      </vt:variant>
      <vt:variant>
        <vt:i4>0</vt:i4>
      </vt:variant>
      <vt:variant>
        <vt:i4>5</vt:i4>
      </vt:variant>
      <vt:variant>
        <vt:lpwstr/>
      </vt:variant>
      <vt:variant>
        <vt:lpwstr>_Toc193465438</vt:lpwstr>
      </vt:variant>
      <vt:variant>
        <vt:i4>1835056</vt:i4>
      </vt:variant>
      <vt:variant>
        <vt:i4>32</vt:i4>
      </vt:variant>
      <vt:variant>
        <vt:i4>0</vt:i4>
      </vt:variant>
      <vt:variant>
        <vt:i4>5</vt:i4>
      </vt:variant>
      <vt:variant>
        <vt:lpwstr/>
      </vt:variant>
      <vt:variant>
        <vt:lpwstr>_Toc193465437</vt:lpwstr>
      </vt:variant>
      <vt:variant>
        <vt:i4>1835056</vt:i4>
      </vt:variant>
      <vt:variant>
        <vt:i4>26</vt:i4>
      </vt:variant>
      <vt:variant>
        <vt:i4>0</vt:i4>
      </vt:variant>
      <vt:variant>
        <vt:i4>5</vt:i4>
      </vt:variant>
      <vt:variant>
        <vt:lpwstr/>
      </vt:variant>
      <vt:variant>
        <vt:lpwstr>_Toc193465436</vt:lpwstr>
      </vt:variant>
      <vt:variant>
        <vt:i4>1835056</vt:i4>
      </vt:variant>
      <vt:variant>
        <vt:i4>20</vt:i4>
      </vt:variant>
      <vt:variant>
        <vt:i4>0</vt:i4>
      </vt:variant>
      <vt:variant>
        <vt:i4>5</vt:i4>
      </vt:variant>
      <vt:variant>
        <vt:lpwstr/>
      </vt:variant>
      <vt:variant>
        <vt:lpwstr>_Toc193465435</vt:lpwstr>
      </vt:variant>
      <vt:variant>
        <vt:i4>1835056</vt:i4>
      </vt:variant>
      <vt:variant>
        <vt:i4>14</vt:i4>
      </vt:variant>
      <vt:variant>
        <vt:i4>0</vt:i4>
      </vt:variant>
      <vt:variant>
        <vt:i4>5</vt:i4>
      </vt:variant>
      <vt:variant>
        <vt:lpwstr/>
      </vt:variant>
      <vt:variant>
        <vt:lpwstr>_Toc193465434</vt:lpwstr>
      </vt:variant>
      <vt:variant>
        <vt:i4>1835056</vt:i4>
      </vt:variant>
      <vt:variant>
        <vt:i4>8</vt:i4>
      </vt:variant>
      <vt:variant>
        <vt:i4>0</vt:i4>
      </vt:variant>
      <vt:variant>
        <vt:i4>5</vt:i4>
      </vt:variant>
      <vt:variant>
        <vt:lpwstr/>
      </vt:variant>
      <vt:variant>
        <vt:lpwstr>_Toc193465433</vt:lpwstr>
      </vt:variant>
      <vt:variant>
        <vt:i4>1835056</vt:i4>
      </vt:variant>
      <vt:variant>
        <vt:i4>2</vt:i4>
      </vt:variant>
      <vt:variant>
        <vt:i4>0</vt:i4>
      </vt:variant>
      <vt:variant>
        <vt:i4>5</vt:i4>
      </vt:variant>
      <vt:variant>
        <vt:lpwstr/>
      </vt:variant>
      <vt:variant>
        <vt:lpwstr>_Toc193465432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Policy</dc:title>
  <dc:subject/>
  <dc:creator>Dean Bruce</dc:creator>
  <cp:keywords/>
  <dc:description/>
  <cp:lastModifiedBy>Hazel G</cp:lastModifiedBy>
  <cp:revision>3</cp:revision>
  <dcterms:created xsi:type="dcterms:W3CDTF">2026-08-29T19:40:00Z</dcterms:created>
  <dcterms:modified xsi:type="dcterms:W3CDTF">2026-08-31T10:17:00Z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0x010100797FCB89037FAC4C8C855C468840AC5A</vt:lpwstr>
  </property>
  <property fmtid="{D5CDD505-2E9C-101B-9397-08002B2CF9AE}" pid="3" name="MediaServiceImageTags">
    <vt:lpwstr/>
  </property>
</Properties>
</file>