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3C24F" w14:textId="775EFB11" w:rsidR="009212E9" w:rsidRDefault="00C810D9">
      <w:pPr>
        <w:jc w:val="center"/>
        <w:rPr>
          <w:b/>
          <w:sz w:val="32"/>
        </w:rPr>
      </w:pPr>
      <w:r>
        <w:rPr>
          <w:b/>
          <w:sz w:val="32"/>
        </w:rPr>
        <w:t>Student Induction Policy (Alternative Provision)</w:t>
      </w:r>
    </w:p>
    <w:p w14:paraId="58FBB18F" w14:textId="77777777" w:rsidR="00C810D9" w:rsidRDefault="00C810D9">
      <w:pPr>
        <w:jc w:val="center"/>
      </w:pPr>
    </w:p>
    <w:tbl>
      <w:tblPr>
        <w:tblStyle w:val="TableGrid"/>
        <w:tblW w:w="0" w:type="auto"/>
        <w:tblLook w:val="04A0" w:firstRow="1" w:lastRow="0" w:firstColumn="1" w:lastColumn="0" w:noHBand="0" w:noVBand="1"/>
      </w:tblPr>
      <w:tblGrid>
        <w:gridCol w:w="5507"/>
        <w:gridCol w:w="5507"/>
      </w:tblGrid>
      <w:tr w:rsidR="009212E9" w14:paraId="00D69FDD" w14:textId="77777777">
        <w:tc>
          <w:tcPr>
            <w:tcW w:w="5512" w:type="dxa"/>
          </w:tcPr>
          <w:p w14:paraId="01A1FA24" w14:textId="77777777" w:rsidR="009212E9" w:rsidRDefault="00C810D9">
            <w:r>
              <w:t>Policy title</w:t>
            </w:r>
          </w:p>
        </w:tc>
        <w:tc>
          <w:tcPr>
            <w:tcW w:w="5512" w:type="dxa"/>
          </w:tcPr>
          <w:p w14:paraId="3E05D559" w14:textId="77777777" w:rsidR="009212E9" w:rsidRDefault="00C810D9">
            <w:r>
              <w:t>Student Induction Policy (Alternative Provision)</w:t>
            </w:r>
          </w:p>
        </w:tc>
      </w:tr>
      <w:tr w:rsidR="009212E9" w14:paraId="218F2DF0" w14:textId="77777777">
        <w:tc>
          <w:tcPr>
            <w:tcW w:w="5512" w:type="dxa"/>
          </w:tcPr>
          <w:p w14:paraId="44BF88C6" w14:textId="77777777" w:rsidR="009212E9" w:rsidRDefault="00C810D9">
            <w:r>
              <w:t>Applies to</w:t>
            </w:r>
          </w:p>
        </w:tc>
        <w:tc>
          <w:tcPr>
            <w:tcW w:w="5512" w:type="dxa"/>
          </w:tcPr>
          <w:p w14:paraId="02EEE336" w14:textId="2B794987" w:rsidR="009212E9" w:rsidRDefault="00C810D9">
            <w:r>
              <w:t xml:space="preserve">All </w:t>
            </w:r>
            <w:r w:rsidR="00442BD3">
              <w:t>students</w:t>
            </w:r>
            <w:r>
              <w:t>, parents/carers and staff</w:t>
            </w:r>
          </w:p>
        </w:tc>
      </w:tr>
      <w:tr w:rsidR="009212E9" w14:paraId="0FA677D3" w14:textId="77777777">
        <w:tc>
          <w:tcPr>
            <w:tcW w:w="5512" w:type="dxa"/>
          </w:tcPr>
          <w:p w14:paraId="0CE2272F" w14:textId="77777777" w:rsidR="009212E9" w:rsidRDefault="00C810D9">
            <w:r>
              <w:t>Policy owner</w:t>
            </w:r>
          </w:p>
        </w:tc>
        <w:tc>
          <w:tcPr>
            <w:tcW w:w="5512" w:type="dxa"/>
          </w:tcPr>
          <w:p w14:paraId="5B05FC21" w14:textId="45A5ABCD" w:rsidR="009212E9" w:rsidRDefault="00C810D9">
            <w:r>
              <w:t>Head of Centre / DSL</w:t>
            </w:r>
            <w:r w:rsidR="00EB6BE1">
              <w:t>/HG</w:t>
            </w:r>
          </w:p>
        </w:tc>
      </w:tr>
      <w:tr w:rsidR="009212E9" w14:paraId="6D105952" w14:textId="77777777">
        <w:tc>
          <w:tcPr>
            <w:tcW w:w="5512" w:type="dxa"/>
          </w:tcPr>
          <w:p w14:paraId="004F9A78" w14:textId="77777777" w:rsidR="009212E9" w:rsidRDefault="00C810D9">
            <w:r>
              <w:t>Approved on</w:t>
            </w:r>
          </w:p>
        </w:tc>
        <w:tc>
          <w:tcPr>
            <w:tcW w:w="5512" w:type="dxa"/>
          </w:tcPr>
          <w:p w14:paraId="08E5A5A5" w14:textId="0B95256D" w:rsidR="009212E9" w:rsidRDefault="00442BD3">
            <w:r>
              <w:t>01</w:t>
            </w:r>
            <w:r w:rsidR="00C810D9">
              <w:t>September 202</w:t>
            </w:r>
            <w:r>
              <w:t>6</w:t>
            </w:r>
          </w:p>
        </w:tc>
      </w:tr>
      <w:tr w:rsidR="009212E9" w14:paraId="5E33E7B8" w14:textId="77777777">
        <w:tc>
          <w:tcPr>
            <w:tcW w:w="5512" w:type="dxa"/>
          </w:tcPr>
          <w:p w14:paraId="273F97B7" w14:textId="77777777" w:rsidR="009212E9" w:rsidRDefault="00C810D9">
            <w:r>
              <w:t>Review cycle</w:t>
            </w:r>
          </w:p>
        </w:tc>
        <w:tc>
          <w:tcPr>
            <w:tcW w:w="5512" w:type="dxa"/>
          </w:tcPr>
          <w:p w14:paraId="4DAC187A" w14:textId="77777777" w:rsidR="009212E9" w:rsidRDefault="00C810D9">
            <w:r>
              <w:t>Annual</w:t>
            </w:r>
          </w:p>
        </w:tc>
      </w:tr>
    </w:tbl>
    <w:p w14:paraId="084D712A" w14:textId="77777777" w:rsidR="009212E9" w:rsidRDefault="009212E9"/>
    <w:p w14:paraId="1DFAFA47" w14:textId="77777777" w:rsidR="009212E9" w:rsidRDefault="00C810D9">
      <w:pPr>
        <w:pStyle w:val="Heading1"/>
      </w:pPr>
      <w:r>
        <w:t>1. Purpose and ethos</w:t>
      </w:r>
    </w:p>
    <w:p w14:paraId="40603B1A" w14:textId="373DB402" w:rsidR="009212E9" w:rsidRDefault="00C810D9">
      <w:pPr>
        <w:spacing w:after="120"/>
      </w:pPr>
      <w:r>
        <w:t xml:space="preserve">Our induction ensures every learner joining </w:t>
      </w:r>
      <w:r w:rsidR="00EB6BE1">
        <w:t xml:space="preserve">The Patch Project Devon CIC </w:t>
      </w:r>
      <w:r>
        <w:t>experiences a safe, welcoming and structured start. We recognise that many pupils placed in Alternative Provision have faced disruption, exclusions, poor attendance or contextual risks. Induction therefore focuses on safety, belonging and clear routines as much as on academic assessment. It provides early help, builds trust with families and establishes the behaviours and supports that enable success.</w:t>
      </w:r>
    </w:p>
    <w:p w14:paraId="46C82EF5" w14:textId="77777777" w:rsidR="009212E9" w:rsidRDefault="00C810D9">
      <w:pPr>
        <w:pStyle w:val="Heading1"/>
      </w:pPr>
      <w:r>
        <w:t>2. Legal and policy framework</w:t>
      </w:r>
    </w:p>
    <w:p w14:paraId="08BE5708" w14:textId="77777777" w:rsidR="009212E9" w:rsidRDefault="00C810D9">
      <w:pPr>
        <w:spacing w:after="120"/>
      </w:pPr>
      <w:r>
        <w:t>This policy sits within Keeping Children Safe in Education (2025), Working Together to Safeguard Children (2023, updated 2025), the DfE Non‑school Alternative Provision Voluntary National Standards (2025), the Equality Act 2010 and UK GDPR. Safeguarding is everyone’s responsibility and the DSL oversees all aspects of student induction and information‑sharing.</w:t>
      </w:r>
    </w:p>
    <w:p w14:paraId="091D8236" w14:textId="77777777" w:rsidR="009212E9" w:rsidRDefault="00C810D9">
      <w:pPr>
        <w:pStyle w:val="Heading1"/>
      </w:pPr>
      <w:r>
        <w:t>3. Scope</w:t>
      </w:r>
    </w:p>
    <w:p w14:paraId="4C18FCDA" w14:textId="77777777" w:rsidR="009212E9" w:rsidRDefault="00C810D9">
      <w:pPr>
        <w:spacing w:after="120"/>
      </w:pPr>
      <w:r>
        <w:t>The policy applies to all learners placed with us by local authorities, schools or other commissioners, including part‑time or medical placements. It covers pre‑admission engagement, the first day, the first four weeks and the handover to steady‑state provision.</w:t>
      </w:r>
    </w:p>
    <w:p w14:paraId="75A9099D" w14:textId="77777777" w:rsidR="009212E9" w:rsidRDefault="00C810D9">
      <w:pPr>
        <w:pStyle w:val="Heading1"/>
      </w:pPr>
      <w:r>
        <w:t>4. Pre‑admission (days −10 to −1)</w:t>
      </w:r>
    </w:p>
    <w:p w14:paraId="70E2C4BE" w14:textId="6EAF677B" w:rsidR="009212E9" w:rsidRDefault="00C810D9">
      <w:pPr>
        <w:spacing w:after="120"/>
      </w:pPr>
      <w:r>
        <w:t xml:space="preserve">Once a referral is agreed in principle, the Admissions Panel instructs the DSL to coordinate pre‑admission checks. The referrer supplies a full chronology (attendance, attainment, behaviour, risk history), safeguarding information, EHCP/SEND documents, and any therapeutic or medical plans. We meet </w:t>
      </w:r>
      <w:r w:rsidR="00EB6BE1">
        <w:t xml:space="preserve">the student </w:t>
      </w:r>
      <w:r>
        <w:t>and parent/carer—ideally on site—to explain our offer, tour the setting and gather the learner’s voice. Reasonable adjustments are identified and recorded. Where risks are significant (e.g. exploitation, violence, weapons, self‑harm), the DSL convenes a multi‑agency discussion to agree mitigations before start. Transport arrangements and timings are confirmed in writing.</w:t>
      </w:r>
    </w:p>
    <w:p w14:paraId="46A29ED7" w14:textId="77777777" w:rsidR="009212E9" w:rsidRDefault="00C810D9">
      <w:pPr>
        <w:pStyle w:val="Heading1"/>
      </w:pPr>
      <w:r>
        <w:t>5. First day experience</w:t>
      </w:r>
    </w:p>
    <w:p w14:paraId="67B474A5" w14:textId="5E381C14" w:rsidR="009212E9" w:rsidRDefault="00C810D9">
      <w:pPr>
        <w:spacing w:after="120"/>
      </w:pPr>
      <w:r>
        <w:t>On arrival the student is greeted by name and introduced to a trusted adult. A calm, scripted welcome covers essentials—where to store belongings, how breaks work, who to ask for help, and what to do if worried. The DSL or deputy provides a short safeguarding briefing, including reporting routes, trusted adults, online safety and expectations around attendance, phones and conduct. A fire safety orientation shows exits, alarms, assembly points and first‑aid locations. We complete initial wellbeing and engagement screens and agree a same‑day check‑out call with home.</w:t>
      </w:r>
    </w:p>
    <w:p w14:paraId="10EBD648" w14:textId="77777777" w:rsidR="009212E9" w:rsidRDefault="00C810D9">
      <w:pPr>
        <w:pStyle w:val="Heading1"/>
      </w:pPr>
      <w:r>
        <w:t>6. Baseline assessment and initial plan (week 1)</w:t>
      </w:r>
    </w:p>
    <w:p w14:paraId="428830B1" w14:textId="3F926DF0" w:rsidR="009212E9" w:rsidRDefault="00C810D9">
      <w:pPr>
        <w:spacing w:after="120"/>
      </w:pPr>
      <w:r>
        <w:t>During the first</w:t>
      </w:r>
      <w:r w:rsidR="00EB6BE1">
        <w:t xml:space="preserve"> few</w:t>
      </w:r>
      <w:r>
        <w:t xml:space="preserve"> week</w:t>
      </w:r>
      <w:r w:rsidR="00EB6BE1">
        <w:t>s</w:t>
      </w:r>
      <w:r>
        <w:t xml:space="preserve"> we complete curriculum baselines in English, maths and any specialist vocational areas the </w:t>
      </w:r>
      <w:r w:rsidR="00EB6BE1">
        <w:t>student</w:t>
      </w:r>
      <w:r>
        <w:t xml:space="preserve"> will access. Staff observe learning habits and regulation needs. The SENCo reviews SEND history and updates the </w:t>
      </w:r>
      <w:r w:rsidR="00EB6BE1">
        <w:t>student learning plan</w:t>
      </w:r>
      <w:r>
        <w:t>, with EHCP outcomes translated into practical</w:t>
      </w:r>
      <w:r w:rsidR="00EB6BE1">
        <w:t xml:space="preserve"> </w:t>
      </w:r>
      <w:r>
        <w:t>strategies. Where health or therapy is involved, we confirm consent and information‑sharing protocols. The DSL finalises a safeguarding and risk management plan that includes arrival/departure security, community risks, and triggers/early warning signs with agreed de‑escalation strategies.</w:t>
      </w:r>
    </w:p>
    <w:p w14:paraId="7DC0DA67" w14:textId="77777777" w:rsidR="009212E9" w:rsidRDefault="00C810D9">
      <w:pPr>
        <w:pStyle w:val="Heading1"/>
      </w:pPr>
      <w:r>
        <w:t>7. Induction curriculum and routines (weeks 1–4)</w:t>
      </w:r>
    </w:p>
    <w:p w14:paraId="6A879508" w14:textId="7AB0A97D" w:rsidR="009212E9" w:rsidRDefault="00C810D9">
      <w:pPr>
        <w:spacing w:after="120"/>
      </w:pPr>
      <w:r>
        <w:t>Learners follow a settling‑in timetable that mixes high‑success learning experiences with coaching on routines—punctuality, equipment, transitions, restorative conversations and digital responsibility. A key worker meets the</w:t>
      </w:r>
      <w:r w:rsidR="00EB6BE1">
        <w:t xml:space="preserve"> </w:t>
      </w:r>
      <w:proofErr w:type="gramStart"/>
      <w:r w:rsidR="00EB6BE1">
        <w:t xml:space="preserve">student </w:t>
      </w:r>
      <w:r>
        <w:t xml:space="preserve"> at</w:t>
      </w:r>
      <w:proofErr w:type="gramEnd"/>
      <w:r>
        <w:t xml:space="preserve"> least </w:t>
      </w:r>
      <w:r w:rsidR="00EB6BE1">
        <w:t>once</w:t>
      </w:r>
      <w:r>
        <w:t xml:space="preserve"> weekly to review goals, attendance and wellbeing, and to coach problem‑solving. Parents/carers receive weekly contact to reinforce attendance and celebrate progress. Where attendance dips or </w:t>
      </w:r>
      <w:r>
        <w:lastRenderedPageBreak/>
        <w:t xml:space="preserve">the </w:t>
      </w:r>
      <w:r w:rsidR="00EB6BE1">
        <w:t>student</w:t>
      </w:r>
      <w:r>
        <w:t xml:space="preserve"> goes missing, we follow the Attendance and CME escalation pathway immediately and liaise with the referrer.</w:t>
      </w:r>
    </w:p>
    <w:p w14:paraId="6E6D383C" w14:textId="77777777" w:rsidR="009212E9" w:rsidRDefault="00C810D9">
      <w:pPr>
        <w:pStyle w:val="Heading1"/>
      </w:pPr>
      <w:r>
        <w:t>8. Placement review and handover (end of week 4)</w:t>
      </w:r>
    </w:p>
    <w:p w14:paraId="6F1337F3" w14:textId="0834F0AF" w:rsidR="009212E9" w:rsidRDefault="00C810D9">
      <w:pPr>
        <w:spacing w:after="120"/>
      </w:pPr>
      <w:r>
        <w:t xml:space="preserve">At the end of week four the key worker </w:t>
      </w:r>
      <w:r w:rsidR="00EB6BE1">
        <w:t xml:space="preserve">may </w:t>
      </w:r>
      <w:r>
        <w:t xml:space="preserve">coordinate a multi‑agency review with the </w:t>
      </w:r>
      <w:r w:rsidR="00EB6BE1">
        <w:t>student</w:t>
      </w:r>
      <w:r>
        <w:t xml:space="preserve"> and family. We evaluate attendance, conduct, curriculum engagement and safeguarding. The plan is then converted into the longer‑term placement plan with measurable targets (academic progress, qualification pathway, behaviour, attendance). Any adjustments to timetable, transport or specialist support are confirmed in writing.</w:t>
      </w:r>
    </w:p>
    <w:p w14:paraId="4F566388" w14:textId="77777777" w:rsidR="009212E9" w:rsidRDefault="00C810D9">
      <w:pPr>
        <w:pStyle w:val="Heading1"/>
      </w:pPr>
      <w:r>
        <w:t>9. Recording and quality assurance</w:t>
      </w:r>
    </w:p>
    <w:p w14:paraId="403534CB" w14:textId="559BFDA0" w:rsidR="009212E9" w:rsidRDefault="00C810D9">
      <w:pPr>
        <w:spacing w:after="120"/>
      </w:pPr>
      <w:r>
        <w:t>All induction activities are recorded on our MIS and safeguarding system. The Provision Lead samples induction files each half‑term against this policy and the DfE AP standards, with actions tracked to completion. Induction content is updated following audits or changes to statutory guidance.</w:t>
      </w:r>
    </w:p>
    <w:p w14:paraId="54372829" w14:textId="77777777" w:rsidR="009212E9" w:rsidRDefault="00C810D9">
      <w:pPr>
        <w:pStyle w:val="Heading1"/>
      </w:pPr>
      <w:r>
        <w:t>10. Equality, diversity and inclusion</w:t>
      </w:r>
    </w:p>
    <w:p w14:paraId="630C939F" w14:textId="77777777" w:rsidR="009212E9" w:rsidRDefault="00C810D9">
      <w:pPr>
        <w:spacing w:after="120"/>
      </w:pPr>
      <w:r>
        <w:t>We make reasonable adjustments so that induction is accessible for all learners, including those with SEND, EAL or disabilities. Materials avoid jargon and are provided in alternative formats upon request.</w:t>
      </w:r>
    </w:p>
    <w:p w14:paraId="748815B9" w14:textId="77777777" w:rsidR="009212E9" w:rsidRDefault="00C810D9">
      <w:pPr>
        <w:pStyle w:val="Heading1"/>
      </w:pPr>
      <w:r>
        <w:t>11. Data protection and information‑sharing</w:t>
      </w:r>
    </w:p>
    <w:p w14:paraId="23B647AE" w14:textId="77777777" w:rsidR="009212E9" w:rsidRDefault="00C810D9">
      <w:pPr>
        <w:spacing w:after="120"/>
      </w:pPr>
      <w:r>
        <w:t>We collect and share only what is necessary, proportionate and lawful under UK GDPR/DPA 2018 and safeguarding exemptions. Privacy information is issued to families at admission and consent captured where required.</w:t>
      </w:r>
    </w:p>
    <w:p w14:paraId="22E8A03A" w14:textId="4192673A" w:rsidR="009212E9" w:rsidRDefault="00C810D9">
      <w:r>
        <w:rPr>
          <w:i/>
        </w:rPr>
        <w:t xml:space="preserve">Version: V03 • Approved on: </w:t>
      </w:r>
      <w:r w:rsidR="00442BD3">
        <w:rPr>
          <w:i/>
        </w:rPr>
        <w:t>01</w:t>
      </w:r>
      <w:r>
        <w:rPr>
          <w:i/>
        </w:rPr>
        <w:t xml:space="preserve"> September 202</w:t>
      </w:r>
      <w:r w:rsidR="00442BD3">
        <w:rPr>
          <w:i/>
        </w:rPr>
        <w:t>6</w:t>
      </w:r>
      <w:r>
        <w:rPr>
          <w:i/>
        </w:rPr>
        <w:t xml:space="preserve"> • Next review: September 202</w:t>
      </w:r>
      <w:r w:rsidR="00442BD3">
        <w:rPr>
          <w:i/>
        </w:rPr>
        <w:t>7</w:t>
      </w:r>
    </w:p>
    <w:sectPr w:rsidR="009212E9" w:rsidSect="004752A1">
      <w:headerReference w:type="default" r:id="rId11"/>
      <w:footerReference w:type="default" r:id="rId12"/>
      <w:headerReference w:type="first" r:id="rId13"/>
      <w:footerReference w:type="first" r:id="rId14"/>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462EA" w14:textId="77777777" w:rsidR="006E05DC" w:rsidRDefault="006E05DC" w:rsidP="00AC3A2B">
      <w:r>
        <w:separator/>
      </w:r>
    </w:p>
  </w:endnote>
  <w:endnote w:type="continuationSeparator" w:id="0">
    <w:p w14:paraId="1E32B84A" w14:textId="77777777" w:rsidR="006E05DC" w:rsidRDefault="006E05DC" w:rsidP="00AC3A2B">
      <w:r>
        <w:continuationSeparator/>
      </w:r>
    </w:p>
  </w:endnote>
  <w:endnote w:type="continuationNotice" w:id="1">
    <w:p w14:paraId="6A7C740F" w14:textId="77777777" w:rsidR="006E05DC" w:rsidRDefault="006E0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CE39" w14:textId="41D2F9BB" w:rsidR="00CF4BB6" w:rsidRDefault="00CF4BB6" w:rsidP="00CF4BB6">
    <w:pPr>
      <w:pStyle w:val="BodyText"/>
      <w:spacing w:line="14" w:lineRule="auto"/>
      <w:rPr>
        <w:sz w:val="20"/>
      </w:rPr>
    </w:pPr>
  </w:p>
  <w:p w14:paraId="291C4DF4" w14:textId="77777777" w:rsidR="00C213B4" w:rsidRPr="00A91C06" w:rsidRDefault="00C213B4">
    <w:pPr>
      <w:pStyle w:val="BodyText"/>
      <w:spacing w:line="14" w:lineRule="auto"/>
      <w:rPr>
        <w:rFonts w:ascii="Trebuchet MS" w:hAnsi="Trebuchet MS"/>
        <w:sz w:val="18"/>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53A3" w14:textId="77777777" w:rsidR="00366547" w:rsidRDefault="00366547" w:rsidP="00366547">
    <w:pPr>
      <w:pStyle w:val="BodyText"/>
      <w:spacing w:line="14" w:lineRule="auto"/>
      <w:rPr>
        <w:sz w:val="20"/>
      </w:rPr>
    </w:pPr>
    <w:r>
      <w:rPr>
        <w:noProof/>
      </w:rPr>
      <mc:AlternateContent>
        <mc:Choice Requires="wps">
          <w:drawing>
            <wp:anchor distT="0" distB="0" distL="0" distR="0" simplePos="0" relativeHeight="251665410" behindDoc="1" locked="0" layoutInCell="1" allowOverlap="1" wp14:anchorId="74A8CA36" wp14:editId="0A627F38">
              <wp:simplePos x="0" y="0"/>
              <wp:positionH relativeFrom="page">
                <wp:posOffset>6394450</wp:posOffset>
              </wp:positionH>
              <wp:positionV relativeFrom="page">
                <wp:posOffset>9982200</wp:posOffset>
              </wp:positionV>
              <wp:extent cx="1033780" cy="5492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549275"/>
                      </a:xfrm>
                      <a:prstGeom prst="rect">
                        <a:avLst/>
                      </a:prstGeom>
                    </wps:spPr>
                    <wps:txbx>
                      <w:txbxContent>
                        <w:p w14:paraId="22E03400" w14:textId="77777777" w:rsidR="00366547" w:rsidRDefault="00366547" w:rsidP="00366547">
                          <w:pPr>
                            <w:spacing w:before="15" w:line="244" w:lineRule="auto"/>
                            <w:ind w:left="20" w:right="10"/>
                            <w:rPr>
                              <w:sz w:val="14"/>
                            </w:rPr>
                          </w:pPr>
                          <w:r>
                            <w:rPr>
                              <w:color w:val="FFFFFF"/>
                              <w:sz w:val="14"/>
                            </w:rPr>
                            <w:t>Adoption</w:t>
                          </w:r>
                          <w:r>
                            <w:rPr>
                              <w:color w:val="FFFFFF"/>
                              <w:spacing w:val="-10"/>
                              <w:sz w:val="14"/>
                            </w:rPr>
                            <w:t xml:space="preserve"> </w:t>
                          </w:r>
                          <w:r>
                            <w:rPr>
                              <w:color w:val="FFFFFF"/>
                              <w:sz w:val="14"/>
                            </w:rPr>
                            <w:t>Policy</w:t>
                          </w:r>
                          <w:r>
                            <w:rPr>
                              <w:color w:val="FFFFFF"/>
                              <w:spacing w:val="40"/>
                              <w:sz w:val="14"/>
                            </w:rPr>
                            <w:t xml:space="preserve"> </w:t>
                          </w:r>
                          <w:r>
                            <w:rPr>
                              <w:color w:val="FFFFFF"/>
                              <w:sz w:val="14"/>
                            </w:rPr>
                            <w:t xml:space="preserve">TBGUK.V02 - </w:t>
                          </w:r>
                          <w:r>
                            <w:rPr>
                              <w:color w:val="FFFFFF"/>
                              <w:spacing w:val="-5"/>
                              <w:sz w:val="14"/>
                            </w:rPr>
                            <w:t xml:space="preserve"> </w:t>
                          </w:r>
                          <w:r>
                            <w:rPr>
                              <w:color w:val="FFFFFF"/>
                              <w:spacing w:val="-2"/>
                              <w:sz w:val="14"/>
                            </w:rPr>
                            <w:t>07/2024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50F1F8" id="_x0000_t202" coordsize="21600,21600" o:spt="202" path="m,l,21600r21600,l21600,xe">
              <v:stroke joinstyle="miter"/>
              <v:path gradientshapeok="t" o:connecttype="rect"/>
            </v:shapetype>
            <v:shape id="_x0000_s1029" type="#_x0000_t202" style="position:absolute;margin-left:503.5pt;margin-top:786pt;width:81.4pt;height:43.25pt;z-index:-2516510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" filled="f" stroked="f">
              <v:textbox inset="0,0,0,0">
                <w:txbxContent>
                  <w:p w14:paraId="357A0DDE" w14:textId="77777777" w:rsidR="00366547" w:rsidRDefault="00366547" w:rsidP="00366547">
                    <w:pPr>
                      <w:spacing w:before="15" w:line="244" w:lineRule="auto"/>
                      <w:ind w:left="20" w:right="10"/>
                      <w:rPr>
                        <w:sz w:val="14"/>
                      </w:rPr>
                    </w:pPr>
                    <w:r>
                      <w:rPr>
                        <w:color w:val="FFFFFF"/>
                        <w:sz w:val="14"/>
                      </w:rPr>
                      <w:t>Adoption</w:t>
                    </w:r>
                    <w:r>
                      <w:rPr>
                        <w:color w:val="FFFFFF"/>
                        <w:spacing w:val="-10"/>
                        <w:sz w:val="14"/>
                      </w:rPr>
                      <w:t xml:space="preserve"> </w:t>
                    </w:r>
                    <w:r>
                      <w:rPr>
                        <w:color w:val="FFFFFF"/>
                        <w:sz w:val="14"/>
                      </w:rPr>
                      <w:t>Policy</w:t>
                    </w:r>
                    <w:r>
                      <w:rPr>
                        <w:color w:val="FFFFFF"/>
                        <w:spacing w:val="40"/>
                        <w:sz w:val="14"/>
                      </w:rPr>
                      <w:t xml:space="preserve"> </w:t>
                    </w:r>
                    <w:r>
                      <w:rPr>
                        <w:color w:val="FFFFFF"/>
                        <w:sz w:val="14"/>
                      </w:rPr>
                      <w:t xml:space="preserve">TBGUK.V02 - </w:t>
                    </w:r>
                    <w:r>
                      <w:rPr>
                        <w:color w:val="FFFFFF"/>
                        <w:spacing w:val="-5"/>
                        <w:sz w:val="14"/>
                      </w:rPr>
                      <w:t xml:space="preserve"> </w:t>
                    </w:r>
                    <w:r>
                      <w:rPr>
                        <w:color w:val="FFFFFF"/>
                        <w:spacing w:val="-2"/>
                        <w:sz w:val="14"/>
                      </w:rPr>
                      <w:t>07/2024</w:t>
                    </w:r>
                  </w:p>
                </w:txbxContent>
              </v:textbox>
              <w10:wrap anchorx="page" anchory="page"/>
            </v:shape>
          </w:pict>
        </mc:Fallback>
      </mc:AlternateContent>
    </w:r>
    <w:r>
      <w:rPr>
        <w:noProof/>
      </w:rPr>
      <mc:AlternateContent>
        <mc:Choice Requires="wps">
          <w:drawing>
            <wp:anchor distT="0" distB="0" distL="0" distR="0" simplePos="0" relativeHeight="251663362" behindDoc="1" locked="0" layoutInCell="1" allowOverlap="1" wp14:anchorId="7FB735B9" wp14:editId="3294E4C2">
              <wp:simplePos x="0" y="0"/>
              <wp:positionH relativeFrom="page">
                <wp:posOffset>327660</wp:posOffset>
              </wp:positionH>
              <wp:positionV relativeFrom="page">
                <wp:posOffset>9982200</wp:posOffset>
              </wp:positionV>
              <wp:extent cx="598805" cy="3657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 cy="365760"/>
                      </a:xfrm>
                      <a:prstGeom prst="rect">
                        <a:avLst/>
                      </a:prstGeom>
                    </wps:spPr>
                    <wps:txbx>
                      <w:txbxContent>
                        <w:p w14:paraId="081979B5" w14:textId="77777777" w:rsidR="00366547" w:rsidRPr="00107A43" w:rsidRDefault="00366547" w:rsidP="00366547">
                          <w:pPr>
                            <w:spacing w:before="2"/>
                            <w:ind w:left="20"/>
                            <w:rPr>
                              <w:color w:val="FFFFFF"/>
                              <w:sz w:val="10"/>
                            </w:rPr>
                          </w:pPr>
                          <w:r w:rsidRPr="00107A43">
                            <w:rPr>
                              <w:color w:val="FFFFFF"/>
                              <w:sz w:val="10"/>
                            </w:rPr>
                            <w:t xml:space="preserve">The BUSY Group UK Ltd </w:t>
                          </w:r>
                        </w:p>
                        <w:p w14:paraId="545ED498" w14:textId="77777777" w:rsidR="00366547" w:rsidRDefault="00366547" w:rsidP="00366547">
                          <w:pPr>
                            <w:spacing w:before="2"/>
                            <w:ind w:left="20"/>
                            <w:rPr>
                              <w:sz w:val="10"/>
                            </w:rPr>
                          </w:pPr>
                          <w:r w:rsidRPr="00107A43">
                            <w:rPr>
                              <w:color w:val="FFFFFF"/>
                              <w:sz w:val="10"/>
                            </w:rPr>
                            <w:t>Company Number 15234574</w:t>
                          </w:r>
                        </w:p>
                      </w:txbxContent>
                    </wps:txbx>
                    <wps:bodyPr wrap="square" lIns="0" tIns="0" rIns="0" bIns="0" rtlCol="0">
                      <a:noAutofit/>
                    </wps:bodyPr>
                  </wps:wsp>
                </a:graphicData>
              </a:graphic>
              <wp14:sizeRelV relativeFrom="margin">
                <wp14:pctHeight>0</wp14:pctHeight>
              </wp14:sizeRelV>
            </wp:anchor>
          </w:drawing>
        </mc:Choice>
        <mc:Fallback>
          <w:pict>
            <v:shape w14:anchorId="77AA30A0" id="_x0000_s1030" type="#_x0000_t202" style="position:absolute;margin-left:25.8pt;margin-top:786pt;width:47.15pt;height:28.8pt;z-index:-25165311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" filled="f" stroked="f">
              <v:textbox inset="0,0,0,0">
                <w:txbxContent>
                  <w:p w14:paraId="1E90CA48" w14:textId="77777777" w:rsidR="00366547" w:rsidRPr="00107A43" w:rsidRDefault="00366547" w:rsidP="00366547">
                    <w:pPr>
                      <w:spacing w:before="2"/>
                      <w:ind w:left="20"/>
                      <w:rPr>
                        <w:color w:val="FFFFFF"/>
                        <w:sz w:val="10"/>
                      </w:rPr>
                    </w:pPr>
                    <w:r w:rsidRPr="00107A43">
                      <w:rPr>
                        <w:color w:val="FFFFFF"/>
                        <w:sz w:val="10"/>
                      </w:rPr>
                      <w:t xml:space="preserve">The BUSY Group UK Ltd </w:t>
                    </w:r>
                  </w:p>
                  <w:p w14:paraId="33ACFEE1" w14:textId="77777777" w:rsidR="00366547" w:rsidRDefault="00366547" w:rsidP="00366547">
                    <w:pPr>
                      <w:spacing w:before="2"/>
                      <w:ind w:left="20"/>
                      <w:rPr>
                        <w:sz w:val="10"/>
                      </w:rPr>
                    </w:pPr>
                    <w:r w:rsidRPr="00107A43">
                      <w:rPr>
                        <w:color w:val="FFFFFF"/>
                        <w:sz w:val="10"/>
                      </w:rPr>
                      <w:t>Company Number 15234574</w:t>
                    </w:r>
                  </w:p>
                </w:txbxContent>
              </v:textbox>
              <w10:wrap anchorx="page" anchory="page"/>
            </v:shape>
          </w:pict>
        </mc:Fallback>
      </mc:AlternateContent>
    </w:r>
    <w:r>
      <w:rPr>
        <w:noProof/>
      </w:rPr>
      <mc:AlternateContent>
        <mc:Choice Requires="wpg">
          <w:drawing>
            <wp:anchor distT="0" distB="0" distL="0" distR="0" simplePos="0" relativeHeight="251662338" behindDoc="1" locked="0" layoutInCell="1" allowOverlap="1" wp14:anchorId="1518A532" wp14:editId="6D8623E9">
              <wp:simplePos x="0" y="0"/>
              <wp:positionH relativeFrom="page">
                <wp:posOffset>9525</wp:posOffset>
              </wp:positionH>
              <wp:positionV relativeFrom="page">
                <wp:posOffset>9820275</wp:posOffset>
              </wp:positionV>
              <wp:extent cx="7554595" cy="8591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4595" cy="859155"/>
                        <a:chOff x="0" y="0"/>
                        <a:chExt cx="7554595" cy="859155"/>
                      </a:xfrm>
                    </wpg:grpSpPr>
                    <wps:wsp>
                      <wps:cNvPr id="3" name="Graphic 3"/>
                      <wps:cNvSpPr/>
                      <wps:spPr>
                        <a:xfrm>
                          <a:off x="0" y="76200"/>
                          <a:ext cx="7554595" cy="782955"/>
                        </a:xfrm>
                        <a:custGeom>
                          <a:avLst/>
                          <a:gdLst/>
                          <a:ahLst/>
                          <a:cxnLst/>
                          <a:rect l="l" t="t" r="r" b="b"/>
                          <a:pathLst>
                            <a:path w="7554595" h="782955">
                              <a:moveTo>
                                <a:pt x="0" y="782955"/>
                              </a:moveTo>
                              <a:lnTo>
                                <a:pt x="7554594" y="782955"/>
                              </a:lnTo>
                              <a:lnTo>
                                <a:pt x="7554594" y="0"/>
                              </a:lnTo>
                              <a:lnTo>
                                <a:pt x="0" y="0"/>
                              </a:lnTo>
                              <a:lnTo>
                                <a:pt x="0" y="782955"/>
                              </a:lnTo>
                              <a:close/>
                            </a:path>
                          </a:pathLst>
                        </a:custGeom>
                        <a:solidFill>
                          <a:srgbClr val="005DAA"/>
                        </a:solidFill>
                      </wps:spPr>
                      <wps:bodyPr wrap="square" lIns="0" tIns="0" rIns="0" bIns="0" rtlCol="0">
                        <a:prstTxWarp prst="textNoShape">
                          <a:avLst/>
                        </a:prstTxWarp>
                        <a:noAutofit/>
                      </wps:bodyPr>
                    </wps:wsp>
                    <wps:wsp>
                      <wps:cNvPr id="4" name="Graphic 4"/>
                      <wps:cNvSpPr/>
                      <wps:spPr>
                        <a:xfrm>
                          <a:off x="19050" y="0"/>
                          <a:ext cx="7535545" cy="76200"/>
                        </a:xfrm>
                        <a:custGeom>
                          <a:avLst/>
                          <a:gdLst/>
                          <a:ahLst/>
                          <a:cxnLst/>
                          <a:rect l="l" t="t" r="r" b="b"/>
                          <a:pathLst>
                            <a:path w="7535545" h="76200">
                              <a:moveTo>
                                <a:pt x="0" y="76200"/>
                              </a:moveTo>
                              <a:lnTo>
                                <a:pt x="7535544" y="76200"/>
                              </a:lnTo>
                              <a:lnTo>
                                <a:pt x="7535544" y="0"/>
                              </a:lnTo>
                              <a:lnTo>
                                <a:pt x="0" y="0"/>
                              </a:lnTo>
                              <a:lnTo>
                                <a:pt x="0" y="76200"/>
                              </a:lnTo>
                              <a:close/>
                            </a:path>
                          </a:pathLst>
                        </a:custGeom>
                        <a:solidFill>
                          <a:srgbClr val="FFDD00"/>
                        </a:solidFill>
                      </wps:spPr>
                      <wps:bodyPr wrap="square" lIns="0" tIns="0" rIns="0" bIns="0" rtlCol="0">
                        <a:prstTxWarp prst="textNoShape">
                          <a:avLst/>
                        </a:prstTxWarp>
                        <a:noAutofit/>
                      </wps:bodyPr>
                    </wps:wsp>
                  </wpg:wgp>
                </a:graphicData>
              </a:graphic>
            </wp:anchor>
          </w:drawing>
        </mc:Choice>
        <mc:Fallback>
          <w:pict>
            <v:group w14:anchorId="56D7F711" id="Group 2" o:spid="_x0000_s1026" style="position:absolute;margin-left:.75pt;margin-top:773.25pt;width:594.85pt;height:67.65pt;z-index:-251654142;mso-wrap-distance-left:0;mso-wrap-distance-right:0;mso-position-horizontal-relative:page;mso-position-vertical-relative:page" coordsize="75545,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">
              <v:shape id="Graphic 3" o:spid="_x0000_s1027" style="position:absolute;top:762;width:75545;height:7829;visibility:visible;mso-wrap-style:square;v-text-anchor:top" coordsize="7554595,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" path="m,782955r7554594,l7554594,,,,,782955xe" fillcolor="#005daa" stroked="f">
                <v:path arrowok="t"/>
              </v:shape>
              <v:shape id="Graphic 4" o:spid="_x0000_s1028" style="position:absolute;left:190;width:75355;height:762;visibility:visible;mso-wrap-style:square;v-text-anchor:top" coordsize="753554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" path="m,76200r7535544,l7535544,,,,,76200xe" fillcolor="#fd0" stroked="f">
                <v:path arrowok="t"/>
              </v:shape>
              <w10:wrap anchorx="page" anchory="page"/>
            </v:group>
          </w:pict>
        </mc:Fallback>
      </mc:AlternateContent>
    </w:r>
    <w:r>
      <w:rPr>
        <w:noProof/>
      </w:rPr>
      <mc:AlternateContent>
        <mc:Choice Requires="wps">
          <w:drawing>
            <wp:anchor distT="0" distB="0" distL="0" distR="0" simplePos="0" relativeHeight="251664386" behindDoc="1" locked="0" layoutInCell="1" allowOverlap="1" wp14:anchorId="4E1C9D0D" wp14:editId="3AC1DBDB">
              <wp:simplePos x="0" y="0"/>
              <wp:positionH relativeFrom="page">
                <wp:posOffset>3041395</wp:posOffset>
              </wp:positionH>
              <wp:positionV relativeFrom="page">
                <wp:posOffset>10036824</wp:posOffset>
              </wp:positionV>
              <wp:extent cx="1467485" cy="224154"/>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7485" cy="224154"/>
                      </a:xfrm>
                      <a:prstGeom prst="rect">
                        <a:avLst/>
                      </a:prstGeom>
                    </wps:spPr>
                    <wps:txbx>
                      <w:txbxContent>
                        <w:p w14:paraId="2C7A9229" w14:textId="77777777" w:rsidR="00366547" w:rsidRDefault="00366547" w:rsidP="00366547">
                          <w:pPr>
                            <w:spacing w:before="11"/>
                            <w:ind w:left="20"/>
                            <w:rPr>
                              <w:b/>
                              <w:sz w:val="28"/>
                            </w:rPr>
                          </w:pPr>
                          <w:r>
                            <w:rPr>
                              <w:b/>
                              <w:color w:val="FFFFFF"/>
                              <w:sz w:val="28"/>
                            </w:rPr>
                            <w:t>The</w:t>
                          </w:r>
                          <w:r>
                            <w:rPr>
                              <w:b/>
                              <w:color w:val="FFFFFF"/>
                              <w:spacing w:val="-4"/>
                              <w:sz w:val="28"/>
                            </w:rPr>
                            <w:t xml:space="preserve"> </w:t>
                          </w:r>
                          <w:r>
                            <w:rPr>
                              <w:b/>
                              <w:color w:val="FFFFFF"/>
                              <w:sz w:val="28"/>
                            </w:rPr>
                            <w:t>BUSY</w:t>
                          </w:r>
                          <w:r>
                            <w:rPr>
                              <w:b/>
                              <w:color w:val="FFFFFF"/>
                              <w:spacing w:val="-3"/>
                              <w:sz w:val="28"/>
                            </w:rPr>
                            <w:t xml:space="preserve"> </w:t>
                          </w:r>
                          <w:r>
                            <w:rPr>
                              <w:b/>
                              <w:color w:val="FFFFFF"/>
                              <w:spacing w:val="-4"/>
                              <w:sz w:val="28"/>
                            </w:rPr>
                            <w:t>Group</w:t>
                          </w:r>
                        </w:p>
                      </w:txbxContent>
                    </wps:txbx>
                    <wps:bodyPr wrap="square" lIns="0" tIns="0" rIns="0" bIns="0" rtlCol="0">
                      <a:noAutofit/>
                    </wps:bodyPr>
                  </wps:wsp>
                </a:graphicData>
              </a:graphic>
            </wp:anchor>
          </w:drawing>
        </mc:Choice>
        <mc:Fallback>
          <w:pict>
            <v:shape w14:anchorId="3F367B29" id="_x0000_s1031" type="#_x0000_t202" style="position:absolute;margin-left:239.5pt;margin-top:790.3pt;width:115.55pt;height:17.65pt;z-index:-2516520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" filled="f" stroked="f">
              <v:textbox inset="0,0,0,0">
                <w:txbxContent>
                  <w:p w14:paraId="2E3B397A" w14:textId="77777777" w:rsidR="00366547" w:rsidRDefault="00366547" w:rsidP="00366547">
                    <w:pPr>
                      <w:spacing w:before="11"/>
                      <w:ind w:left="20"/>
                      <w:rPr>
                        <w:b/>
                        <w:sz w:val="28"/>
                      </w:rPr>
                    </w:pPr>
                    <w:r>
                      <w:rPr>
                        <w:b/>
                        <w:color w:val="FFFFFF"/>
                        <w:sz w:val="28"/>
                      </w:rPr>
                      <w:t>The</w:t>
                    </w:r>
                    <w:r>
                      <w:rPr>
                        <w:b/>
                        <w:color w:val="FFFFFF"/>
                        <w:spacing w:val="-4"/>
                        <w:sz w:val="28"/>
                      </w:rPr>
                      <w:t xml:space="preserve"> </w:t>
                    </w:r>
                    <w:r>
                      <w:rPr>
                        <w:b/>
                        <w:color w:val="FFFFFF"/>
                        <w:sz w:val="28"/>
                      </w:rPr>
                      <w:t>BUSY</w:t>
                    </w:r>
                    <w:r>
                      <w:rPr>
                        <w:b/>
                        <w:color w:val="FFFFFF"/>
                        <w:spacing w:val="-3"/>
                        <w:sz w:val="28"/>
                      </w:rPr>
                      <w:t xml:space="preserve"> </w:t>
                    </w:r>
                    <w:r>
                      <w:rPr>
                        <w:b/>
                        <w:color w:val="FFFFFF"/>
                        <w:spacing w:val="-4"/>
                        <w:sz w:val="28"/>
                      </w:rPr>
                      <w:t>Group</w:t>
                    </w:r>
                  </w:p>
                </w:txbxContent>
              </v:textbox>
              <w10:wrap anchorx="page" anchory="page"/>
            </v:shape>
          </w:pict>
        </mc:Fallback>
      </mc:AlternateContent>
    </w:r>
  </w:p>
  <w:p w14:paraId="3E1D8941" w14:textId="77777777" w:rsidR="00D96603" w:rsidRDefault="00D96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EF5EA" w14:textId="77777777" w:rsidR="006E05DC" w:rsidRDefault="006E05DC" w:rsidP="00AC3A2B">
      <w:r>
        <w:separator/>
      </w:r>
    </w:p>
  </w:footnote>
  <w:footnote w:type="continuationSeparator" w:id="0">
    <w:p w14:paraId="2878AD3B" w14:textId="77777777" w:rsidR="006E05DC" w:rsidRDefault="006E05DC" w:rsidP="00AC3A2B">
      <w:r>
        <w:continuationSeparator/>
      </w:r>
    </w:p>
  </w:footnote>
  <w:footnote w:type="continuationNotice" w:id="1">
    <w:p w14:paraId="169E6BD1" w14:textId="77777777" w:rsidR="006E05DC" w:rsidRDefault="006E05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A57D" w14:textId="027C8DE5" w:rsidR="00C810D9" w:rsidRDefault="00C810D9">
    <w:pPr>
      <w:pStyle w:val="Header"/>
    </w:pPr>
  </w:p>
  <w:p w14:paraId="122F29DB" w14:textId="07528A3B" w:rsidR="00C810D9" w:rsidRDefault="00C810D9">
    <w:pPr>
      <w:pStyle w:val="Header"/>
    </w:pPr>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9027A" w14:textId="77777777" w:rsidR="00AB6B34" w:rsidRDefault="00BD58EC">
    <w:pPr>
      <w:pStyle w:val="Header"/>
    </w:pPr>
    <w:r>
      <w:rPr>
        <w:noProof/>
      </w:rPr>
      <w:drawing>
        <wp:anchor distT="0" distB="0" distL="114300" distR="114300" simplePos="0" relativeHeight="251660290" behindDoc="1" locked="0" layoutInCell="1" allowOverlap="1" wp14:anchorId="7B6C2390" wp14:editId="7E9D53E7">
          <wp:simplePos x="0" y="0"/>
          <wp:positionH relativeFrom="column">
            <wp:posOffset>-161925</wp:posOffset>
          </wp:positionH>
          <wp:positionV relativeFrom="paragraph">
            <wp:posOffset>-95885</wp:posOffset>
          </wp:positionV>
          <wp:extent cx="2901600" cy="900000"/>
          <wp:effectExtent l="0" t="0" r="0" b="0"/>
          <wp:wrapTight wrapText="bothSides">
            <wp:wrapPolygon edited="0">
              <wp:start x="0" y="0"/>
              <wp:lineTo x="0" y="21036"/>
              <wp:lineTo x="21416" y="21036"/>
              <wp:lineTo x="21416" y="0"/>
              <wp:lineTo x="0" y="0"/>
            </wp:wrapPolygon>
          </wp:wrapTight>
          <wp:docPr id="2017408080" name="Picture 1" descr="A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08080" name="Picture 2017408080" descr="A blue and yellow 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600" cy="9000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5pt;visibility:visible;mso-wrap-style:square" o:bullet="t">
        <v:imagedata r:id="rId1" o:title=""/>
      </v:shape>
    </w:pict>
  </w:numPicBullet>
  <w:abstractNum w:abstractNumId="0" w15:restartNumberingAfterBreak="0">
    <w:nsid w:val="048B79AA"/>
    <w:multiLevelType w:val="hybridMultilevel"/>
    <w:tmpl w:val="9CF84A8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A5646AB"/>
    <w:multiLevelType w:val="hybridMultilevel"/>
    <w:tmpl w:val="63260680"/>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5F44C3"/>
    <w:multiLevelType w:val="hybridMultilevel"/>
    <w:tmpl w:val="4DB221C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E895D81"/>
    <w:multiLevelType w:val="hybridMultilevel"/>
    <w:tmpl w:val="37C4A648"/>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2C37CF9"/>
    <w:multiLevelType w:val="hybridMultilevel"/>
    <w:tmpl w:val="B2B45800"/>
    <w:lvl w:ilvl="0" w:tplc="0809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14F52B56"/>
    <w:multiLevelType w:val="hybridMultilevel"/>
    <w:tmpl w:val="7ECE096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7E734D2"/>
    <w:multiLevelType w:val="hybridMultilevel"/>
    <w:tmpl w:val="8AB6005A"/>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B56EDC"/>
    <w:multiLevelType w:val="hybridMultilevel"/>
    <w:tmpl w:val="9A7E7D3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AF3123E"/>
    <w:multiLevelType w:val="hybridMultilevel"/>
    <w:tmpl w:val="2FD0BCD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EA42B74"/>
    <w:multiLevelType w:val="hybridMultilevel"/>
    <w:tmpl w:val="9386040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4AF17AC"/>
    <w:multiLevelType w:val="hybridMultilevel"/>
    <w:tmpl w:val="A1D2995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56B4434"/>
    <w:multiLevelType w:val="hybridMultilevel"/>
    <w:tmpl w:val="8F24E38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A507186"/>
    <w:multiLevelType w:val="hybridMultilevel"/>
    <w:tmpl w:val="04C0B04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83035D"/>
    <w:multiLevelType w:val="hybridMultilevel"/>
    <w:tmpl w:val="88D495CE"/>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30FF676A"/>
    <w:multiLevelType w:val="hybridMultilevel"/>
    <w:tmpl w:val="8CDE9CB8"/>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52634FE"/>
    <w:multiLevelType w:val="hybridMultilevel"/>
    <w:tmpl w:val="6178B0DE"/>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37A73BDC"/>
    <w:multiLevelType w:val="hybridMultilevel"/>
    <w:tmpl w:val="38B0046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7BE3F7F"/>
    <w:multiLevelType w:val="hybridMultilevel"/>
    <w:tmpl w:val="4E3A98B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A103BED"/>
    <w:multiLevelType w:val="hybridMultilevel"/>
    <w:tmpl w:val="5650C8F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A3E2AEB"/>
    <w:multiLevelType w:val="hybridMultilevel"/>
    <w:tmpl w:val="8A5C72F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C5D0983"/>
    <w:multiLevelType w:val="hybridMultilevel"/>
    <w:tmpl w:val="347CFF36"/>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2947915"/>
    <w:multiLevelType w:val="hybridMultilevel"/>
    <w:tmpl w:val="ECF64606"/>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2D65613"/>
    <w:multiLevelType w:val="hybridMultilevel"/>
    <w:tmpl w:val="C972CDA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3607F14"/>
    <w:multiLevelType w:val="hybridMultilevel"/>
    <w:tmpl w:val="FA181632"/>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5FE6535"/>
    <w:multiLevelType w:val="hybridMultilevel"/>
    <w:tmpl w:val="BC5ED122"/>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8930201"/>
    <w:multiLevelType w:val="hybridMultilevel"/>
    <w:tmpl w:val="25D49FF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CAF079E"/>
    <w:multiLevelType w:val="hybridMultilevel"/>
    <w:tmpl w:val="6882E524"/>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0B1583A"/>
    <w:multiLevelType w:val="hybridMultilevel"/>
    <w:tmpl w:val="0032C480"/>
    <w:lvl w:ilvl="0" w:tplc="08090001">
      <w:start w:val="1"/>
      <w:numFmt w:val="bullet"/>
      <w:lvlText w:val=""/>
      <w:lvlJc w:val="left"/>
      <w:pPr>
        <w:ind w:left="360" w:hanging="360"/>
      </w:pPr>
      <w:rPr>
        <w:rFonts w:ascii="Symbol" w:hAnsi="Symbol" w:hint="default"/>
      </w:rPr>
    </w:lvl>
    <w:lvl w:ilvl="1" w:tplc="20000003">
      <w:start w:val="1"/>
      <w:numFmt w:val="bullet"/>
      <w:lvlText w:val="o"/>
      <w:lvlJc w:val="left"/>
      <w:pPr>
        <w:ind w:left="530" w:hanging="360"/>
      </w:pPr>
      <w:rPr>
        <w:rFonts w:ascii="Courier New" w:hAnsi="Courier New" w:cs="Courier New" w:hint="default"/>
      </w:rPr>
    </w:lvl>
    <w:lvl w:ilvl="2" w:tplc="20000005" w:tentative="1">
      <w:start w:val="1"/>
      <w:numFmt w:val="bullet"/>
      <w:lvlText w:val=""/>
      <w:lvlJc w:val="left"/>
      <w:pPr>
        <w:ind w:left="1250" w:hanging="360"/>
      </w:pPr>
      <w:rPr>
        <w:rFonts w:ascii="Wingdings" w:hAnsi="Wingdings" w:hint="default"/>
      </w:rPr>
    </w:lvl>
    <w:lvl w:ilvl="3" w:tplc="20000001" w:tentative="1">
      <w:start w:val="1"/>
      <w:numFmt w:val="bullet"/>
      <w:lvlText w:val=""/>
      <w:lvlJc w:val="left"/>
      <w:pPr>
        <w:ind w:left="1970" w:hanging="360"/>
      </w:pPr>
      <w:rPr>
        <w:rFonts w:ascii="Symbol" w:hAnsi="Symbol" w:hint="default"/>
      </w:rPr>
    </w:lvl>
    <w:lvl w:ilvl="4" w:tplc="20000003" w:tentative="1">
      <w:start w:val="1"/>
      <w:numFmt w:val="bullet"/>
      <w:lvlText w:val="o"/>
      <w:lvlJc w:val="left"/>
      <w:pPr>
        <w:ind w:left="2690" w:hanging="360"/>
      </w:pPr>
      <w:rPr>
        <w:rFonts w:ascii="Courier New" w:hAnsi="Courier New" w:cs="Courier New" w:hint="default"/>
      </w:rPr>
    </w:lvl>
    <w:lvl w:ilvl="5" w:tplc="20000005" w:tentative="1">
      <w:start w:val="1"/>
      <w:numFmt w:val="bullet"/>
      <w:lvlText w:val=""/>
      <w:lvlJc w:val="left"/>
      <w:pPr>
        <w:ind w:left="3410" w:hanging="360"/>
      </w:pPr>
      <w:rPr>
        <w:rFonts w:ascii="Wingdings" w:hAnsi="Wingdings" w:hint="default"/>
      </w:rPr>
    </w:lvl>
    <w:lvl w:ilvl="6" w:tplc="20000001" w:tentative="1">
      <w:start w:val="1"/>
      <w:numFmt w:val="bullet"/>
      <w:lvlText w:val=""/>
      <w:lvlJc w:val="left"/>
      <w:pPr>
        <w:ind w:left="4130" w:hanging="360"/>
      </w:pPr>
      <w:rPr>
        <w:rFonts w:ascii="Symbol" w:hAnsi="Symbol" w:hint="default"/>
      </w:rPr>
    </w:lvl>
    <w:lvl w:ilvl="7" w:tplc="20000003" w:tentative="1">
      <w:start w:val="1"/>
      <w:numFmt w:val="bullet"/>
      <w:lvlText w:val="o"/>
      <w:lvlJc w:val="left"/>
      <w:pPr>
        <w:ind w:left="4850" w:hanging="360"/>
      </w:pPr>
      <w:rPr>
        <w:rFonts w:ascii="Courier New" w:hAnsi="Courier New" w:cs="Courier New" w:hint="default"/>
      </w:rPr>
    </w:lvl>
    <w:lvl w:ilvl="8" w:tplc="20000005" w:tentative="1">
      <w:start w:val="1"/>
      <w:numFmt w:val="bullet"/>
      <w:lvlText w:val=""/>
      <w:lvlJc w:val="left"/>
      <w:pPr>
        <w:ind w:left="5570" w:hanging="360"/>
      </w:pPr>
      <w:rPr>
        <w:rFonts w:ascii="Wingdings" w:hAnsi="Wingdings" w:hint="default"/>
      </w:rPr>
    </w:lvl>
  </w:abstractNum>
  <w:abstractNum w:abstractNumId="28" w15:restartNumberingAfterBreak="0">
    <w:nsid w:val="510D26A4"/>
    <w:multiLevelType w:val="hybridMultilevel"/>
    <w:tmpl w:val="2E7E067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17D5CBF"/>
    <w:multiLevelType w:val="hybridMultilevel"/>
    <w:tmpl w:val="4D12FC06"/>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34119A4"/>
    <w:multiLevelType w:val="hybridMultilevel"/>
    <w:tmpl w:val="19D45C4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1" w15:restartNumberingAfterBreak="0">
    <w:nsid w:val="574419C6"/>
    <w:multiLevelType w:val="hybridMultilevel"/>
    <w:tmpl w:val="049AD0B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ADB4809"/>
    <w:multiLevelType w:val="hybridMultilevel"/>
    <w:tmpl w:val="8D4C0E68"/>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61350820"/>
    <w:multiLevelType w:val="hybridMultilevel"/>
    <w:tmpl w:val="D7E29F8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3365832"/>
    <w:multiLevelType w:val="hybridMultilevel"/>
    <w:tmpl w:val="2EC82B52"/>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42D6753"/>
    <w:multiLevelType w:val="hybridMultilevel"/>
    <w:tmpl w:val="721AAD1E"/>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6592883"/>
    <w:multiLevelType w:val="hybridMultilevel"/>
    <w:tmpl w:val="E6920F5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67C6DEE"/>
    <w:multiLevelType w:val="hybridMultilevel"/>
    <w:tmpl w:val="2F44B1D2"/>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677D7B2F"/>
    <w:multiLevelType w:val="hybridMultilevel"/>
    <w:tmpl w:val="C862E14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9" w15:restartNumberingAfterBreak="0">
    <w:nsid w:val="680423AA"/>
    <w:multiLevelType w:val="hybridMultilevel"/>
    <w:tmpl w:val="C9266B2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69576C5D"/>
    <w:multiLevelType w:val="hybridMultilevel"/>
    <w:tmpl w:val="FD042A1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BED2E7B"/>
    <w:multiLevelType w:val="hybridMultilevel"/>
    <w:tmpl w:val="B97A221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DA77CD9"/>
    <w:multiLevelType w:val="hybridMultilevel"/>
    <w:tmpl w:val="A42490A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6DF344C8"/>
    <w:multiLevelType w:val="hybridMultilevel"/>
    <w:tmpl w:val="C1D2075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6E93491A"/>
    <w:multiLevelType w:val="hybridMultilevel"/>
    <w:tmpl w:val="395609C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6ED0644F"/>
    <w:multiLevelType w:val="hybridMultilevel"/>
    <w:tmpl w:val="0E6C834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6FB00E9D"/>
    <w:multiLevelType w:val="hybridMultilevel"/>
    <w:tmpl w:val="902E9CD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0BC3C98"/>
    <w:multiLevelType w:val="hybridMultilevel"/>
    <w:tmpl w:val="91E0B35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75B62646"/>
    <w:multiLevelType w:val="hybridMultilevel"/>
    <w:tmpl w:val="2D6CF52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768059E1"/>
    <w:multiLevelType w:val="hybridMultilevel"/>
    <w:tmpl w:val="D164602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79C43170"/>
    <w:multiLevelType w:val="hybridMultilevel"/>
    <w:tmpl w:val="A5B206CC"/>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1"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52" w15:restartNumberingAfterBreak="0">
    <w:nsid w:val="7A8468C2"/>
    <w:multiLevelType w:val="hybridMultilevel"/>
    <w:tmpl w:val="6F941A3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7C3436B1"/>
    <w:multiLevelType w:val="hybridMultilevel"/>
    <w:tmpl w:val="62083CEE"/>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1">
      <w:start w:val="1"/>
      <w:numFmt w:val="bullet"/>
      <w:lvlText w:val=""/>
      <w:lvlJc w:val="left"/>
      <w:pPr>
        <w:ind w:left="1270" w:hanging="360"/>
      </w:pPr>
      <w:rPr>
        <w:rFonts w:ascii="Symbol" w:hAnsi="Symbol"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4" w15:restartNumberingAfterBreak="0">
    <w:nsid w:val="7DE218C6"/>
    <w:multiLevelType w:val="hybridMultilevel"/>
    <w:tmpl w:val="27CC02E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92898401">
    <w:abstractNumId w:val="53"/>
  </w:num>
  <w:num w:numId="2" w16cid:durableId="364674672">
    <w:abstractNumId w:val="51"/>
  </w:num>
  <w:num w:numId="3" w16cid:durableId="1583104236">
    <w:abstractNumId w:val="27"/>
  </w:num>
  <w:num w:numId="4" w16cid:durableId="1488328343">
    <w:abstractNumId w:val="32"/>
  </w:num>
  <w:num w:numId="5" w16cid:durableId="710568177">
    <w:abstractNumId w:val="14"/>
  </w:num>
  <w:num w:numId="6" w16cid:durableId="164974352">
    <w:abstractNumId w:val="45"/>
  </w:num>
  <w:num w:numId="7" w16cid:durableId="1624581166">
    <w:abstractNumId w:val="18"/>
  </w:num>
  <w:num w:numId="8" w16cid:durableId="264119097">
    <w:abstractNumId w:val="2"/>
  </w:num>
  <w:num w:numId="9" w16cid:durableId="854928155">
    <w:abstractNumId w:val="35"/>
  </w:num>
  <w:num w:numId="10" w16cid:durableId="211313426">
    <w:abstractNumId w:val="38"/>
  </w:num>
  <w:num w:numId="11" w16cid:durableId="632685333">
    <w:abstractNumId w:val="40"/>
  </w:num>
  <w:num w:numId="12" w16cid:durableId="793407856">
    <w:abstractNumId w:val="15"/>
  </w:num>
  <w:num w:numId="13" w16cid:durableId="719744353">
    <w:abstractNumId w:val="37"/>
  </w:num>
  <w:num w:numId="14" w16cid:durableId="280189345">
    <w:abstractNumId w:val="20"/>
  </w:num>
  <w:num w:numId="15" w16cid:durableId="1964773348">
    <w:abstractNumId w:val="24"/>
  </w:num>
  <w:num w:numId="16" w16cid:durableId="338508344">
    <w:abstractNumId w:val="10"/>
  </w:num>
  <w:num w:numId="17" w16cid:durableId="1201671883">
    <w:abstractNumId w:val="23"/>
  </w:num>
  <w:num w:numId="18" w16cid:durableId="1388142706">
    <w:abstractNumId w:val="26"/>
  </w:num>
  <w:num w:numId="19" w16cid:durableId="1838032314">
    <w:abstractNumId w:val="31"/>
  </w:num>
  <w:num w:numId="20" w16cid:durableId="302583147">
    <w:abstractNumId w:val="48"/>
  </w:num>
  <w:num w:numId="21" w16cid:durableId="734283577">
    <w:abstractNumId w:val="8"/>
  </w:num>
  <w:num w:numId="22" w16cid:durableId="1699816546">
    <w:abstractNumId w:val="41"/>
  </w:num>
  <w:num w:numId="23" w16cid:durableId="1114443416">
    <w:abstractNumId w:val="0"/>
  </w:num>
  <w:num w:numId="24" w16cid:durableId="362052831">
    <w:abstractNumId w:val="17"/>
  </w:num>
  <w:num w:numId="25" w16cid:durableId="479617248">
    <w:abstractNumId w:val="25"/>
  </w:num>
  <w:num w:numId="26" w16cid:durableId="896090894">
    <w:abstractNumId w:val="13"/>
  </w:num>
  <w:num w:numId="27" w16cid:durableId="1770929795">
    <w:abstractNumId w:val="50"/>
  </w:num>
  <w:num w:numId="28" w16cid:durableId="1720058012">
    <w:abstractNumId w:val="4"/>
  </w:num>
  <w:num w:numId="29" w16cid:durableId="732311056">
    <w:abstractNumId w:val="6"/>
  </w:num>
  <w:num w:numId="30" w16cid:durableId="1741562595">
    <w:abstractNumId w:val="30"/>
  </w:num>
  <w:num w:numId="31" w16cid:durableId="1478911736">
    <w:abstractNumId w:val="52"/>
  </w:num>
  <w:num w:numId="32" w16cid:durableId="1899508925">
    <w:abstractNumId w:val="46"/>
  </w:num>
  <w:num w:numId="33" w16cid:durableId="138307209">
    <w:abstractNumId w:val="43"/>
  </w:num>
  <w:num w:numId="34" w16cid:durableId="530387971">
    <w:abstractNumId w:val="34"/>
  </w:num>
  <w:num w:numId="35" w16cid:durableId="735855571">
    <w:abstractNumId w:val="16"/>
  </w:num>
  <w:num w:numId="36" w16cid:durableId="895311792">
    <w:abstractNumId w:val="12"/>
  </w:num>
  <w:num w:numId="37" w16cid:durableId="428351272">
    <w:abstractNumId w:val="54"/>
  </w:num>
  <w:num w:numId="38" w16cid:durableId="1305237187">
    <w:abstractNumId w:val="19"/>
  </w:num>
  <w:num w:numId="39" w16cid:durableId="1053850092">
    <w:abstractNumId w:val="9"/>
  </w:num>
  <w:num w:numId="40" w16cid:durableId="540825034">
    <w:abstractNumId w:val="42"/>
  </w:num>
  <w:num w:numId="41" w16cid:durableId="763723638">
    <w:abstractNumId w:val="11"/>
  </w:num>
  <w:num w:numId="42" w16cid:durableId="1549100838">
    <w:abstractNumId w:val="36"/>
  </w:num>
  <w:num w:numId="43" w16cid:durableId="1053113871">
    <w:abstractNumId w:val="5"/>
  </w:num>
  <w:num w:numId="44" w16cid:durableId="1530097382">
    <w:abstractNumId w:val="22"/>
  </w:num>
  <w:num w:numId="45" w16cid:durableId="1971939026">
    <w:abstractNumId w:val="33"/>
  </w:num>
  <w:num w:numId="46" w16cid:durableId="1219511799">
    <w:abstractNumId w:val="29"/>
  </w:num>
  <w:num w:numId="47" w16cid:durableId="516581980">
    <w:abstractNumId w:val="3"/>
  </w:num>
  <w:num w:numId="48" w16cid:durableId="180706385">
    <w:abstractNumId w:val="39"/>
  </w:num>
  <w:num w:numId="49" w16cid:durableId="1031757606">
    <w:abstractNumId w:val="1"/>
  </w:num>
  <w:num w:numId="50" w16cid:durableId="1603149970">
    <w:abstractNumId w:val="21"/>
  </w:num>
  <w:num w:numId="51" w16cid:durableId="1905750559">
    <w:abstractNumId w:val="28"/>
  </w:num>
  <w:num w:numId="52" w16cid:durableId="1998458469">
    <w:abstractNumId w:val="49"/>
  </w:num>
  <w:num w:numId="53" w16cid:durableId="1856192299">
    <w:abstractNumId w:val="7"/>
  </w:num>
  <w:num w:numId="54" w16cid:durableId="1600677096">
    <w:abstractNumId w:val="44"/>
  </w:num>
  <w:num w:numId="55" w16cid:durableId="1898398133">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24287"/>
    <w:rsid w:val="00026276"/>
    <w:rsid w:val="00034ADC"/>
    <w:rsid w:val="000449E0"/>
    <w:rsid w:val="00051CEA"/>
    <w:rsid w:val="0005541E"/>
    <w:rsid w:val="0006051E"/>
    <w:rsid w:val="00062CAB"/>
    <w:rsid w:val="00063D5B"/>
    <w:rsid w:val="000667A8"/>
    <w:rsid w:val="00066940"/>
    <w:rsid w:val="000737B4"/>
    <w:rsid w:val="0007394A"/>
    <w:rsid w:val="000766C2"/>
    <w:rsid w:val="00077D34"/>
    <w:rsid w:val="0008175E"/>
    <w:rsid w:val="00084A95"/>
    <w:rsid w:val="00087F4E"/>
    <w:rsid w:val="000905F3"/>
    <w:rsid w:val="00090A4E"/>
    <w:rsid w:val="0009130E"/>
    <w:rsid w:val="00091648"/>
    <w:rsid w:val="00094321"/>
    <w:rsid w:val="000A7463"/>
    <w:rsid w:val="000B2995"/>
    <w:rsid w:val="000B4B7C"/>
    <w:rsid w:val="000B618A"/>
    <w:rsid w:val="000B7C70"/>
    <w:rsid w:val="000C50E0"/>
    <w:rsid w:val="000C58AC"/>
    <w:rsid w:val="000D1B90"/>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5B51"/>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E47AC"/>
    <w:rsid w:val="001E7A13"/>
    <w:rsid w:val="001F0B48"/>
    <w:rsid w:val="001F5142"/>
    <w:rsid w:val="00200BDE"/>
    <w:rsid w:val="00200D12"/>
    <w:rsid w:val="00203AA9"/>
    <w:rsid w:val="00205BD3"/>
    <w:rsid w:val="0021089B"/>
    <w:rsid w:val="002119FA"/>
    <w:rsid w:val="00214F43"/>
    <w:rsid w:val="00220869"/>
    <w:rsid w:val="002220C5"/>
    <w:rsid w:val="0022342D"/>
    <w:rsid w:val="0022679C"/>
    <w:rsid w:val="00227C98"/>
    <w:rsid w:val="00233609"/>
    <w:rsid w:val="00262840"/>
    <w:rsid w:val="00263F44"/>
    <w:rsid w:val="00265DA2"/>
    <w:rsid w:val="002762C8"/>
    <w:rsid w:val="0027667F"/>
    <w:rsid w:val="00277AD4"/>
    <w:rsid w:val="00277C55"/>
    <w:rsid w:val="002937B2"/>
    <w:rsid w:val="00293D76"/>
    <w:rsid w:val="0029443A"/>
    <w:rsid w:val="002A4439"/>
    <w:rsid w:val="002A685A"/>
    <w:rsid w:val="002A6D7E"/>
    <w:rsid w:val="002C7B22"/>
    <w:rsid w:val="002D0E9C"/>
    <w:rsid w:val="002D3C66"/>
    <w:rsid w:val="002D682D"/>
    <w:rsid w:val="002E108F"/>
    <w:rsid w:val="002E159B"/>
    <w:rsid w:val="002E16EF"/>
    <w:rsid w:val="002E2655"/>
    <w:rsid w:val="002E4440"/>
    <w:rsid w:val="002E4A36"/>
    <w:rsid w:val="002F01D4"/>
    <w:rsid w:val="002F2A7B"/>
    <w:rsid w:val="002F3A37"/>
    <w:rsid w:val="002F6CD5"/>
    <w:rsid w:val="00300095"/>
    <w:rsid w:val="00301C3A"/>
    <w:rsid w:val="0030361A"/>
    <w:rsid w:val="0030665D"/>
    <w:rsid w:val="0030748B"/>
    <w:rsid w:val="00314A01"/>
    <w:rsid w:val="00315FD9"/>
    <w:rsid w:val="003167D9"/>
    <w:rsid w:val="00323D1E"/>
    <w:rsid w:val="00326265"/>
    <w:rsid w:val="00340555"/>
    <w:rsid w:val="003563BB"/>
    <w:rsid w:val="00362E76"/>
    <w:rsid w:val="00363A1D"/>
    <w:rsid w:val="00364239"/>
    <w:rsid w:val="00365A20"/>
    <w:rsid w:val="00365F82"/>
    <w:rsid w:val="00366197"/>
    <w:rsid w:val="00366547"/>
    <w:rsid w:val="00382756"/>
    <w:rsid w:val="00385108"/>
    <w:rsid w:val="00393656"/>
    <w:rsid w:val="00396F5A"/>
    <w:rsid w:val="003A03AE"/>
    <w:rsid w:val="003A3808"/>
    <w:rsid w:val="003B05FC"/>
    <w:rsid w:val="003B1515"/>
    <w:rsid w:val="003B55E6"/>
    <w:rsid w:val="003B7A70"/>
    <w:rsid w:val="003C1B69"/>
    <w:rsid w:val="003C3079"/>
    <w:rsid w:val="003C4E4F"/>
    <w:rsid w:val="003D149A"/>
    <w:rsid w:val="003D5739"/>
    <w:rsid w:val="003D7452"/>
    <w:rsid w:val="003E20E8"/>
    <w:rsid w:val="003E2A83"/>
    <w:rsid w:val="003E3115"/>
    <w:rsid w:val="003E4496"/>
    <w:rsid w:val="003E6A2B"/>
    <w:rsid w:val="003E6C36"/>
    <w:rsid w:val="003F32D2"/>
    <w:rsid w:val="003F3B81"/>
    <w:rsid w:val="003F7463"/>
    <w:rsid w:val="00410A83"/>
    <w:rsid w:val="004155EF"/>
    <w:rsid w:val="00421A73"/>
    <w:rsid w:val="00423C2E"/>
    <w:rsid w:val="00425793"/>
    <w:rsid w:val="0042697B"/>
    <w:rsid w:val="00431E41"/>
    <w:rsid w:val="00436739"/>
    <w:rsid w:val="00436768"/>
    <w:rsid w:val="00442BD3"/>
    <w:rsid w:val="00443D2A"/>
    <w:rsid w:val="00443E3F"/>
    <w:rsid w:val="00446742"/>
    <w:rsid w:val="004504C4"/>
    <w:rsid w:val="004537CF"/>
    <w:rsid w:val="00457B81"/>
    <w:rsid w:val="00461B11"/>
    <w:rsid w:val="004626C8"/>
    <w:rsid w:val="00463581"/>
    <w:rsid w:val="004643C2"/>
    <w:rsid w:val="00466931"/>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F2017"/>
    <w:rsid w:val="005024F2"/>
    <w:rsid w:val="00506AE4"/>
    <w:rsid w:val="00506E58"/>
    <w:rsid w:val="00506F4F"/>
    <w:rsid w:val="00513957"/>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51A2"/>
    <w:rsid w:val="005976A5"/>
    <w:rsid w:val="005A4143"/>
    <w:rsid w:val="005A71EC"/>
    <w:rsid w:val="005A7E39"/>
    <w:rsid w:val="005B05AF"/>
    <w:rsid w:val="005B176B"/>
    <w:rsid w:val="005B3E53"/>
    <w:rsid w:val="005B56C9"/>
    <w:rsid w:val="005C6BD8"/>
    <w:rsid w:val="005D2E0E"/>
    <w:rsid w:val="005D39C5"/>
    <w:rsid w:val="005D765B"/>
    <w:rsid w:val="005D7A77"/>
    <w:rsid w:val="005E261B"/>
    <w:rsid w:val="005E42DF"/>
    <w:rsid w:val="005F068E"/>
    <w:rsid w:val="005F10E9"/>
    <w:rsid w:val="005F28C6"/>
    <w:rsid w:val="005F350C"/>
    <w:rsid w:val="005F5272"/>
    <w:rsid w:val="0060002C"/>
    <w:rsid w:val="00607FBA"/>
    <w:rsid w:val="00620678"/>
    <w:rsid w:val="00623BCF"/>
    <w:rsid w:val="006270EE"/>
    <w:rsid w:val="00631961"/>
    <w:rsid w:val="00633666"/>
    <w:rsid w:val="00634CAA"/>
    <w:rsid w:val="00644180"/>
    <w:rsid w:val="00644BCB"/>
    <w:rsid w:val="00652962"/>
    <w:rsid w:val="006615BD"/>
    <w:rsid w:val="00664435"/>
    <w:rsid w:val="0066666F"/>
    <w:rsid w:val="00667BF9"/>
    <w:rsid w:val="00667C0D"/>
    <w:rsid w:val="0067196E"/>
    <w:rsid w:val="00676E5B"/>
    <w:rsid w:val="00682A34"/>
    <w:rsid w:val="00687523"/>
    <w:rsid w:val="0069073D"/>
    <w:rsid w:val="006B22FF"/>
    <w:rsid w:val="006B3BC7"/>
    <w:rsid w:val="006D0085"/>
    <w:rsid w:val="006D3915"/>
    <w:rsid w:val="006D3EAA"/>
    <w:rsid w:val="006D563C"/>
    <w:rsid w:val="006D6170"/>
    <w:rsid w:val="006E05DC"/>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1242"/>
    <w:rsid w:val="0075376B"/>
    <w:rsid w:val="007573D7"/>
    <w:rsid w:val="00760C08"/>
    <w:rsid w:val="00775FFA"/>
    <w:rsid w:val="00790EAE"/>
    <w:rsid w:val="0079789A"/>
    <w:rsid w:val="007A5F9B"/>
    <w:rsid w:val="007A678B"/>
    <w:rsid w:val="007B4631"/>
    <w:rsid w:val="007C1626"/>
    <w:rsid w:val="007D1F40"/>
    <w:rsid w:val="007D3450"/>
    <w:rsid w:val="007D4864"/>
    <w:rsid w:val="007E2248"/>
    <w:rsid w:val="007E77D9"/>
    <w:rsid w:val="007E7EA5"/>
    <w:rsid w:val="007F2790"/>
    <w:rsid w:val="00801AE1"/>
    <w:rsid w:val="00804205"/>
    <w:rsid w:val="00804FE8"/>
    <w:rsid w:val="00805E5E"/>
    <w:rsid w:val="008065AB"/>
    <w:rsid w:val="00806C73"/>
    <w:rsid w:val="00807080"/>
    <w:rsid w:val="008103DF"/>
    <w:rsid w:val="0081151A"/>
    <w:rsid w:val="008251F3"/>
    <w:rsid w:val="0082555C"/>
    <w:rsid w:val="0082559A"/>
    <w:rsid w:val="0083170F"/>
    <w:rsid w:val="008326FD"/>
    <w:rsid w:val="00833CFE"/>
    <w:rsid w:val="00835B32"/>
    <w:rsid w:val="008377EB"/>
    <w:rsid w:val="0084530A"/>
    <w:rsid w:val="00846B2E"/>
    <w:rsid w:val="00851180"/>
    <w:rsid w:val="0085433D"/>
    <w:rsid w:val="0085653C"/>
    <w:rsid w:val="008609E8"/>
    <w:rsid w:val="00861A8E"/>
    <w:rsid w:val="0087016E"/>
    <w:rsid w:val="00874878"/>
    <w:rsid w:val="00883DF3"/>
    <w:rsid w:val="008A5721"/>
    <w:rsid w:val="008A5CF9"/>
    <w:rsid w:val="008A78F9"/>
    <w:rsid w:val="008B0C27"/>
    <w:rsid w:val="008B4028"/>
    <w:rsid w:val="008B40A3"/>
    <w:rsid w:val="008B55C8"/>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212E9"/>
    <w:rsid w:val="009219A2"/>
    <w:rsid w:val="009228F9"/>
    <w:rsid w:val="00926174"/>
    <w:rsid w:val="00926A38"/>
    <w:rsid w:val="00932F11"/>
    <w:rsid w:val="0093361D"/>
    <w:rsid w:val="00936BF5"/>
    <w:rsid w:val="00937450"/>
    <w:rsid w:val="009409CD"/>
    <w:rsid w:val="009422C5"/>
    <w:rsid w:val="00945466"/>
    <w:rsid w:val="00950726"/>
    <w:rsid w:val="00953BA7"/>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4BD0"/>
    <w:rsid w:val="009E1FC9"/>
    <w:rsid w:val="009F020E"/>
    <w:rsid w:val="009F0E90"/>
    <w:rsid w:val="009F1415"/>
    <w:rsid w:val="009F79D2"/>
    <w:rsid w:val="00A00E8A"/>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70A5"/>
    <w:rsid w:val="00A67AC6"/>
    <w:rsid w:val="00A736ED"/>
    <w:rsid w:val="00A75484"/>
    <w:rsid w:val="00A7744D"/>
    <w:rsid w:val="00A91C06"/>
    <w:rsid w:val="00A94DFD"/>
    <w:rsid w:val="00A96F4B"/>
    <w:rsid w:val="00AB1A50"/>
    <w:rsid w:val="00AB29E0"/>
    <w:rsid w:val="00AB6885"/>
    <w:rsid w:val="00AB6B34"/>
    <w:rsid w:val="00AB73CB"/>
    <w:rsid w:val="00AC3A2B"/>
    <w:rsid w:val="00AC7892"/>
    <w:rsid w:val="00AD26E3"/>
    <w:rsid w:val="00AD6D72"/>
    <w:rsid w:val="00AD72E4"/>
    <w:rsid w:val="00AE31DF"/>
    <w:rsid w:val="00AF11FE"/>
    <w:rsid w:val="00AF20A0"/>
    <w:rsid w:val="00AF3DDD"/>
    <w:rsid w:val="00B006B2"/>
    <w:rsid w:val="00B072A9"/>
    <w:rsid w:val="00B12733"/>
    <w:rsid w:val="00B12860"/>
    <w:rsid w:val="00B14BA5"/>
    <w:rsid w:val="00B22151"/>
    <w:rsid w:val="00B23237"/>
    <w:rsid w:val="00B252A4"/>
    <w:rsid w:val="00B27519"/>
    <w:rsid w:val="00B44791"/>
    <w:rsid w:val="00B44AAA"/>
    <w:rsid w:val="00B4677E"/>
    <w:rsid w:val="00B473C0"/>
    <w:rsid w:val="00B54EDF"/>
    <w:rsid w:val="00B61AC1"/>
    <w:rsid w:val="00B63F48"/>
    <w:rsid w:val="00B66C82"/>
    <w:rsid w:val="00B713EC"/>
    <w:rsid w:val="00B739D7"/>
    <w:rsid w:val="00B73E74"/>
    <w:rsid w:val="00B7690E"/>
    <w:rsid w:val="00B80679"/>
    <w:rsid w:val="00B82609"/>
    <w:rsid w:val="00B8368E"/>
    <w:rsid w:val="00B863CF"/>
    <w:rsid w:val="00B91AC0"/>
    <w:rsid w:val="00B91E4C"/>
    <w:rsid w:val="00B939CA"/>
    <w:rsid w:val="00B93AC6"/>
    <w:rsid w:val="00BA2101"/>
    <w:rsid w:val="00BA2D74"/>
    <w:rsid w:val="00BA76FA"/>
    <w:rsid w:val="00BB1066"/>
    <w:rsid w:val="00BB6E9A"/>
    <w:rsid w:val="00BC2C4B"/>
    <w:rsid w:val="00BD2665"/>
    <w:rsid w:val="00BD58EC"/>
    <w:rsid w:val="00BD6778"/>
    <w:rsid w:val="00BE3D36"/>
    <w:rsid w:val="00BE5B05"/>
    <w:rsid w:val="00BE72BF"/>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77FB5"/>
    <w:rsid w:val="00C80046"/>
    <w:rsid w:val="00C810D9"/>
    <w:rsid w:val="00C8239A"/>
    <w:rsid w:val="00C8613F"/>
    <w:rsid w:val="00C912D3"/>
    <w:rsid w:val="00C931AA"/>
    <w:rsid w:val="00C96F6A"/>
    <w:rsid w:val="00CA3E27"/>
    <w:rsid w:val="00CB07CE"/>
    <w:rsid w:val="00CB0951"/>
    <w:rsid w:val="00CB67C9"/>
    <w:rsid w:val="00CC0405"/>
    <w:rsid w:val="00CC151E"/>
    <w:rsid w:val="00CC392E"/>
    <w:rsid w:val="00CC5D5D"/>
    <w:rsid w:val="00CE14E2"/>
    <w:rsid w:val="00CE492A"/>
    <w:rsid w:val="00CE5B6E"/>
    <w:rsid w:val="00CF0E3F"/>
    <w:rsid w:val="00CF3118"/>
    <w:rsid w:val="00CF4BB6"/>
    <w:rsid w:val="00CF5056"/>
    <w:rsid w:val="00CF58E5"/>
    <w:rsid w:val="00CF7ED2"/>
    <w:rsid w:val="00D04522"/>
    <w:rsid w:val="00D05182"/>
    <w:rsid w:val="00D0520F"/>
    <w:rsid w:val="00D10F16"/>
    <w:rsid w:val="00D160A0"/>
    <w:rsid w:val="00D17CC8"/>
    <w:rsid w:val="00D17EDF"/>
    <w:rsid w:val="00D2042C"/>
    <w:rsid w:val="00D23145"/>
    <w:rsid w:val="00D2783D"/>
    <w:rsid w:val="00D370D6"/>
    <w:rsid w:val="00D50A4B"/>
    <w:rsid w:val="00D524FA"/>
    <w:rsid w:val="00D568DC"/>
    <w:rsid w:val="00D56C7E"/>
    <w:rsid w:val="00D631B8"/>
    <w:rsid w:val="00D670F0"/>
    <w:rsid w:val="00D72734"/>
    <w:rsid w:val="00D802BC"/>
    <w:rsid w:val="00D9046B"/>
    <w:rsid w:val="00D96603"/>
    <w:rsid w:val="00DB0F5B"/>
    <w:rsid w:val="00DB1478"/>
    <w:rsid w:val="00DB195D"/>
    <w:rsid w:val="00DB3B0A"/>
    <w:rsid w:val="00DB52CE"/>
    <w:rsid w:val="00DC5682"/>
    <w:rsid w:val="00DC6E7E"/>
    <w:rsid w:val="00DC79D6"/>
    <w:rsid w:val="00DD2F8A"/>
    <w:rsid w:val="00DD4BA7"/>
    <w:rsid w:val="00E04028"/>
    <w:rsid w:val="00E04C83"/>
    <w:rsid w:val="00E167E6"/>
    <w:rsid w:val="00E2534F"/>
    <w:rsid w:val="00E25C82"/>
    <w:rsid w:val="00E25EC5"/>
    <w:rsid w:val="00E27DCF"/>
    <w:rsid w:val="00E345CA"/>
    <w:rsid w:val="00E361EC"/>
    <w:rsid w:val="00E363E5"/>
    <w:rsid w:val="00E36BB4"/>
    <w:rsid w:val="00E40C03"/>
    <w:rsid w:val="00E422FF"/>
    <w:rsid w:val="00E43160"/>
    <w:rsid w:val="00E474E1"/>
    <w:rsid w:val="00E47C14"/>
    <w:rsid w:val="00E51E44"/>
    <w:rsid w:val="00E57D28"/>
    <w:rsid w:val="00E64EAF"/>
    <w:rsid w:val="00E719C0"/>
    <w:rsid w:val="00E72866"/>
    <w:rsid w:val="00E72F0C"/>
    <w:rsid w:val="00E77611"/>
    <w:rsid w:val="00E77BA7"/>
    <w:rsid w:val="00E82B6D"/>
    <w:rsid w:val="00E8435B"/>
    <w:rsid w:val="00E86075"/>
    <w:rsid w:val="00E87708"/>
    <w:rsid w:val="00E90CFC"/>
    <w:rsid w:val="00E91C02"/>
    <w:rsid w:val="00EA0266"/>
    <w:rsid w:val="00EA0A80"/>
    <w:rsid w:val="00EB098F"/>
    <w:rsid w:val="00EB42FE"/>
    <w:rsid w:val="00EB673D"/>
    <w:rsid w:val="00EB6BE1"/>
    <w:rsid w:val="00EB7B9C"/>
    <w:rsid w:val="00EC182B"/>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80FD4"/>
    <w:rsid w:val="00F87BF7"/>
    <w:rsid w:val="00F969F8"/>
    <w:rsid w:val="00FA0C16"/>
    <w:rsid w:val="00FA3A5E"/>
    <w:rsid w:val="00FA699F"/>
    <w:rsid w:val="00FB2037"/>
    <w:rsid w:val="00FB34AB"/>
    <w:rsid w:val="00FC58AF"/>
    <w:rsid w:val="00FC635C"/>
    <w:rsid w:val="00FD152B"/>
    <w:rsid w:val="00FD2532"/>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B5F7E"/>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paragraph" w:styleId="Heading3">
    <w:name w:val="heading 3"/>
    <w:basedOn w:val="Normal"/>
    <w:next w:val="Normal"/>
    <w:link w:val="Heading3Char"/>
    <w:uiPriority w:val="9"/>
    <w:semiHidden/>
    <w:unhideWhenUsed/>
    <w:qFormat/>
    <w:rsid w:val="00B66C8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 w:type="paragraph" w:customStyle="1" w:styleId="1bodycopy10pt">
    <w:name w:val="1 body copy 10pt"/>
    <w:basedOn w:val="Normal"/>
    <w:link w:val="1bodycopy10ptChar"/>
    <w:qFormat/>
    <w:rsid w:val="00B66C82"/>
    <w:pPr>
      <w:widowControl/>
      <w:autoSpaceDE/>
      <w:autoSpaceDN/>
      <w:spacing w:after="120"/>
    </w:pPr>
    <w:rPr>
      <w:rFonts w:eastAsia="MS Mincho" w:cs="Times New Roman"/>
      <w:sz w:val="20"/>
      <w:szCs w:val="24"/>
      <w:lang w:val="en-US"/>
    </w:rPr>
  </w:style>
  <w:style w:type="character" w:customStyle="1" w:styleId="1bodycopy10ptChar">
    <w:name w:val="1 body copy 10pt Char"/>
    <w:link w:val="1bodycopy10pt"/>
    <w:rsid w:val="00B66C82"/>
    <w:rPr>
      <w:rFonts w:ascii="Arial" w:eastAsia="MS Mincho" w:hAnsi="Arial" w:cs="Times New Roman"/>
      <w:kern w:val="0"/>
      <w:sz w:val="20"/>
      <w:szCs w:val="24"/>
      <w:lang w:val="en-US"/>
      <w14:ligatures w14:val="none"/>
    </w:rPr>
  </w:style>
  <w:style w:type="paragraph" w:customStyle="1" w:styleId="4Bulletedcopyblue">
    <w:name w:val="4 Bulleted copy blue"/>
    <w:basedOn w:val="Normal"/>
    <w:qFormat/>
    <w:rsid w:val="00B66C82"/>
    <w:pPr>
      <w:widowControl/>
      <w:numPr>
        <w:numId w:val="1"/>
      </w:numPr>
      <w:autoSpaceDE/>
      <w:autoSpaceDN/>
      <w:spacing w:after="120"/>
    </w:pPr>
    <w:rPr>
      <w:rFonts w:eastAsia="MS Mincho"/>
      <w:sz w:val="20"/>
      <w:szCs w:val="20"/>
      <w:lang w:val="en-US"/>
    </w:rPr>
  </w:style>
  <w:style w:type="paragraph" w:customStyle="1" w:styleId="Subhead2">
    <w:name w:val="Subhead 2"/>
    <w:basedOn w:val="1bodycopy10pt"/>
    <w:next w:val="1bodycopy10pt"/>
    <w:link w:val="Subhead2Char"/>
    <w:qFormat/>
    <w:rsid w:val="00B66C82"/>
    <w:pPr>
      <w:spacing w:before="240"/>
    </w:pPr>
    <w:rPr>
      <w:b/>
      <w:color w:val="12263F"/>
      <w:sz w:val="24"/>
    </w:rPr>
  </w:style>
  <w:style w:type="character" w:customStyle="1" w:styleId="Subhead2Char">
    <w:name w:val="Subhead 2 Char"/>
    <w:link w:val="Subhead2"/>
    <w:rsid w:val="00B66C82"/>
    <w:rPr>
      <w:rFonts w:ascii="Arial" w:eastAsia="MS Mincho" w:hAnsi="Arial" w:cs="Times New Roman"/>
      <w:b/>
      <w:color w:val="12263F"/>
      <w:kern w:val="0"/>
      <w:sz w:val="24"/>
      <w:szCs w:val="24"/>
      <w:lang w:val="en-US"/>
      <w14:ligatures w14:val="none"/>
    </w:rPr>
  </w:style>
  <w:style w:type="character" w:customStyle="1" w:styleId="Heading3Char">
    <w:name w:val="Heading 3 Char"/>
    <w:basedOn w:val="DefaultParagraphFont"/>
    <w:link w:val="Heading3"/>
    <w:uiPriority w:val="9"/>
    <w:semiHidden/>
    <w:rsid w:val="00B66C82"/>
    <w:rPr>
      <w:rFonts w:asciiTheme="majorHAnsi" w:eastAsiaTheme="majorEastAsia" w:hAnsiTheme="majorHAnsi" w:cstheme="majorBidi"/>
      <w:color w:val="1F3763" w:themeColor="accent1" w:themeShade="7F"/>
      <w:kern w:val="0"/>
      <w:sz w:val="24"/>
      <w:szCs w:val="24"/>
      <w14:ligatures w14:val="none"/>
    </w:rPr>
  </w:style>
  <w:style w:type="character" w:styleId="Strong">
    <w:name w:val="Strong"/>
    <w:uiPriority w:val="22"/>
    <w:qFormat/>
    <w:rsid w:val="00B66C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customXml/itemProps2.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3.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4.xml><?xml version="1.0" encoding="utf-8"?>
<ds:datastoreItem xmlns:ds="http://schemas.openxmlformats.org/officeDocument/2006/customXml" ds:itemID="{A28263EA-C19D-409B-B1AB-B25AF0DE6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Student Induction Policy (Alternative Provision)</vt:lpstr>
    </vt:vector>
  </TitlesOfParts>
  <Company>Petaurum HR</Company>
  <LinksUpToDate>false</LinksUpToDate>
  <CharactersWithSpaces>5351</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Induction Policy (Alternative Provision)</dc:title>
  <dc:subject/>
  <dc:creator>Dean Bruce</dc:creator>
  <cp:keywords/>
  <dc:description/>
  <cp:lastModifiedBy>Hazel G</cp:lastModifiedBy>
  <cp:revision>2</cp:revision>
  <dcterms:created xsi:type="dcterms:W3CDTF">2026-08-29T18:52:00Z</dcterms:created>
  <dcterms:modified xsi:type="dcterms:W3CDTF">2026-08-29T18:52:00Z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